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01" w:rsidRDefault="00292101" w:rsidP="00292101">
      <w:r w:rsidRPr="00292101">
        <w:rPr>
          <w:noProof/>
        </w:rPr>
        <w:drawing>
          <wp:anchor distT="0" distB="0" distL="114300" distR="114300" simplePos="0" relativeHeight="251659264" behindDoc="1" locked="0" layoutInCell="1" allowOverlap="1">
            <wp:simplePos x="0" y="0"/>
            <wp:positionH relativeFrom="column">
              <wp:posOffset>-752475</wp:posOffset>
            </wp:positionH>
            <wp:positionV relativeFrom="paragraph">
              <wp:posOffset>-255270</wp:posOffset>
            </wp:positionV>
            <wp:extent cx="1000125" cy="676275"/>
            <wp:effectExtent l="19050" t="0" r="0" b="0"/>
            <wp:wrapTight wrapText="bothSides">
              <wp:wrapPolygon edited="0">
                <wp:start x="-412" y="0"/>
                <wp:lineTo x="-412" y="20805"/>
                <wp:lineTo x="21421" y="20805"/>
                <wp:lineTo x="21421" y="0"/>
                <wp:lineTo x="-412" y="0"/>
              </wp:wrapPolygon>
            </wp:wrapTight>
            <wp:docPr id="8"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p>
    <w:p w:rsidR="00292101" w:rsidRDefault="00292101" w:rsidP="00292101"/>
    <w:p w:rsidR="00292101" w:rsidRDefault="00292101" w:rsidP="00292101">
      <w:pPr>
        <w:jc w:val="center"/>
        <w:rPr>
          <w:b/>
          <w:color w:val="FF0000"/>
          <w:sz w:val="28"/>
          <w:szCs w:val="28"/>
        </w:rPr>
      </w:pPr>
      <w:r>
        <w:t xml:space="preserve">Lochranza Field </w:t>
      </w:r>
      <w:proofErr w:type="gramStart"/>
      <w:r>
        <w:t xml:space="preserve">Centre </w:t>
      </w:r>
      <w:r>
        <w:rPr>
          <w:sz w:val="21"/>
        </w:rPr>
        <w:t xml:space="preserve"> </w:t>
      </w:r>
      <w:r>
        <w:rPr>
          <w:b/>
          <w:sz w:val="28"/>
          <w:szCs w:val="28"/>
        </w:rPr>
        <w:t>Site</w:t>
      </w:r>
      <w:proofErr w:type="gramEnd"/>
      <w:r>
        <w:rPr>
          <w:b/>
          <w:sz w:val="28"/>
          <w:szCs w:val="28"/>
        </w:rPr>
        <w:t xml:space="preserve"> Specific Risk Assessment: </w:t>
      </w:r>
      <w:r>
        <w:t xml:space="preserve">Glen Rosa &amp; Glen </w:t>
      </w:r>
      <w:proofErr w:type="spellStart"/>
      <w:r>
        <w:t>Sannox</w:t>
      </w:r>
      <w:proofErr w:type="spellEnd"/>
      <w:r>
        <w:t>: all Field Studies</w:t>
      </w:r>
    </w:p>
    <w:p w:rsidR="00292101" w:rsidRPr="0043579B" w:rsidRDefault="00292101" w:rsidP="00292101">
      <w:pPr>
        <w:rPr>
          <w:b/>
          <w:color w:val="FF0000"/>
          <w:sz w:val="28"/>
          <w:szCs w:val="28"/>
        </w:rPr>
      </w:pPr>
    </w:p>
    <w:p w:rsidR="00292101" w:rsidRDefault="00292101" w:rsidP="00292101">
      <w:pPr>
        <w:rPr>
          <w:b/>
          <w:szCs w:val="22"/>
        </w:rPr>
      </w:pPr>
      <w:r>
        <w:rPr>
          <w:b/>
          <w:szCs w:val="22"/>
        </w:rPr>
        <w:t xml:space="preserve">Date: </w:t>
      </w:r>
      <w:r w:rsidR="006C76FA">
        <w:t>22/01/2019</w:t>
      </w:r>
    </w:p>
    <w:p w:rsidR="00292101" w:rsidRDefault="00292101" w:rsidP="00292101">
      <w:pPr>
        <w:rPr>
          <w:b/>
          <w:szCs w:val="22"/>
        </w:rPr>
      </w:pPr>
    </w:p>
    <w:p w:rsidR="00292101" w:rsidRPr="00CD0826" w:rsidRDefault="00292101" w:rsidP="00292101">
      <w:pPr>
        <w:rPr>
          <w:b/>
          <w:szCs w:val="22"/>
        </w:rPr>
      </w:pPr>
      <w:r>
        <w:rPr>
          <w:b/>
          <w:szCs w:val="22"/>
        </w:rPr>
        <w:t xml:space="preserve">Completed By: </w:t>
      </w:r>
      <w:r>
        <w:t xml:space="preserve">Chris Traill </w:t>
      </w:r>
    </w:p>
    <w:p w:rsidR="00292101" w:rsidRDefault="00292101" w:rsidP="00292101">
      <w:pPr>
        <w:rPr>
          <w:rFonts w:cs="Arial"/>
          <w:sz w:val="20"/>
        </w:rPr>
      </w:pPr>
      <w:r>
        <w:rPr>
          <w:rFonts w:cs="Arial"/>
          <w:sz w:val="20"/>
        </w:rPr>
        <w:t>Where Hazards have been identified as Generic to all activities the controls are specified within the Generic Instructing Standards</w:t>
      </w:r>
    </w:p>
    <w:p w:rsidR="00292101" w:rsidRPr="00FA2B37" w:rsidRDefault="00292101" w:rsidP="00292101">
      <w:pPr>
        <w:rPr>
          <w:rFonts w:cs="Arial"/>
          <w:sz w:val="20"/>
        </w:rPr>
      </w:pPr>
      <w:r w:rsidRPr="00FA2B37">
        <w:rPr>
          <w:rFonts w:cs="Arial"/>
          <w:sz w:val="20"/>
        </w:rPr>
        <w:t xml:space="preserve">Where Hazards have been identified as </w:t>
      </w:r>
      <w:proofErr w:type="gramStart"/>
      <w:r w:rsidRPr="00FA2B37">
        <w:rPr>
          <w:rFonts w:cs="Arial"/>
          <w:sz w:val="20"/>
        </w:rPr>
        <w:t>Generic</w:t>
      </w:r>
      <w:proofErr w:type="gramEnd"/>
      <w:r w:rsidRPr="00FA2B37">
        <w:rPr>
          <w:rFonts w:cs="Arial"/>
          <w:sz w:val="20"/>
        </w:rPr>
        <w:t xml:space="preserve"> to all </w:t>
      </w:r>
      <w:r w:rsidRPr="00FA2B37">
        <w:rPr>
          <w:sz w:val="20"/>
        </w:rPr>
        <w:t>Lochranza Field Studies</w:t>
      </w:r>
      <w:r w:rsidRPr="00FA2B37">
        <w:rPr>
          <w:rFonts w:cs="Arial"/>
          <w:sz w:val="20"/>
        </w:rPr>
        <w:t xml:space="preserve"> activities the controls are specified within the Generic Off </w:t>
      </w:r>
      <w:r w:rsidRPr="00FA2B37">
        <w:rPr>
          <w:sz w:val="20"/>
        </w:rPr>
        <w:t>Lochranza Local Operating Area Risk Assessment</w:t>
      </w:r>
    </w:p>
    <w:p w:rsidR="00292101" w:rsidRPr="00D951B3" w:rsidRDefault="00292101" w:rsidP="00292101">
      <w:pPr>
        <w:rPr>
          <w:rFonts w:cs="Arial"/>
          <w:sz w:val="20"/>
        </w:rPr>
      </w:pPr>
      <w:r w:rsidRPr="00FA2B37">
        <w:rPr>
          <w:rFonts w:cs="Arial"/>
          <w:sz w:val="20"/>
        </w:rPr>
        <w:t xml:space="preserve">Where </w:t>
      </w:r>
      <w:r w:rsidRPr="007E3E3B">
        <w:rPr>
          <w:rFonts w:cs="Arial"/>
          <w:sz w:val="20"/>
        </w:rPr>
        <w:t xml:space="preserve">Hazards have </w:t>
      </w:r>
      <w:r w:rsidRPr="00D951B3">
        <w:rPr>
          <w:rFonts w:cs="Arial"/>
          <w:sz w:val="20"/>
        </w:rPr>
        <w:t>been identified as Generic to all</w:t>
      </w:r>
      <w:r w:rsidRPr="00D951B3">
        <w:rPr>
          <w:sz w:val="20"/>
        </w:rPr>
        <w:t xml:space="preserve"> mountainous and remote area Field Studies</w:t>
      </w:r>
      <w:r w:rsidRPr="00D951B3">
        <w:rPr>
          <w:rFonts w:cs="Arial"/>
          <w:sz w:val="20"/>
        </w:rPr>
        <w:t xml:space="preserve"> the controls are specified within the Generic Risk Assessment: </w:t>
      </w:r>
      <w:r w:rsidRPr="00D951B3">
        <w:rPr>
          <w:sz w:val="20"/>
        </w:rPr>
        <w:t>Study - Mountainous Areas.</w:t>
      </w:r>
    </w:p>
    <w:p w:rsidR="00292101" w:rsidRPr="00670C9D" w:rsidRDefault="00292101" w:rsidP="00292101">
      <w:pPr>
        <w:tabs>
          <w:tab w:val="center" w:pos="6979"/>
        </w:tabs>
        <w:rPr>
          <w:color w:val="FF0000"/>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788"/>
        <w:gridCol w:w="992"/>
        <w:gridCol w:w="993"/>
        <w:gridCol w:w="850"/>
      </w:tblGrid>
      <w:tr w:rsidR="00292101" w:rsidRPr="00670C9D" w:rsidTr="00061DE5">
        <w:tc>
          <w:tcPr>
            <w:tcW w:w="2802" w:type="dxa"/>
            <w:tcBorders>
              <w:bottom w:val="single" w:sz="4" w:space="0" w:color="auto"/>
            </w:tcBorders>
          </w:tcPr>
          <w:p w:rsidR="00292101" w:rsidRPr="00670C9D" w:rsidRDefault="00292101" w:rsidP="00061DE5">
            <w:pPr>
              <w:pStyle w:val="Heading1"/>
              <w:rPr>
                <w:color w:val="FF0000"/>
                <w:szCs w:val="22"/>
              </w:rPr>
            </w:pPr>
            <w:r w:rsidRPr="00670C9D">
              <w:rPr>
                <w:color w:val="FF0000"/>
                <w:szCs w:val="22"/>
              </w:rPr>
              <w:t>Hazards</w:t>
            </w:r>
          </w:p>
          <w:p w:rsidR="00292101" w:rsidRPr="00670C9D" w:rsidRDefault="00292101" w:rsidP="00061DE5">
            <w:pPr>
              <w:rPr>
                <w:color w:val="FF0000"/>
                <w:szCs w:val="22"/>
              </w:rPr>
            </w:pPr>
            <w:r w:rsidRPr="00670C9D">
              <w:rPr>
                <w:color w:val="FF0000"/>
                <w:szCs w:val="22"/>
              </w:rPr>
              <w:t xml:space="preserve">      (please specify)</w:t>
            </w:r>
          </w:p>
        </w:tc>
        <w:tc>
          <w:tcPr>
            <w:tcW w:w="8788" w:type="dxa"/>
            <w:tcBorders>
              <w:bottom w:val="single" w:sz="4" w:space="0" w:color="auto"/>
            </w:tcBorders>
          </w:tcPr>
          <w:p w:rsidR="00292101" w:rsidRPr="00670C9D" w:rsidRDefault="00292101" w:rsidP="00061DE5">
            <w:pPr>
              <w:rPr>
                <w:b/>
                <w:color w:val="FF0000"/>
                <w:szCs w:val="22"/>
              </w:rPr>
            </w:pPr>
            <w:r w:rsidRPr="00670C9D">
              <w:rPr>
                <w:b/>
                <w:color w:val="FF0000"/>
                <w:szCs w:val="22"/>
              </w:rPr>
              <w:t>Existing Control Measures</w:t>
            </w:r>
          </w:p>
          <w:p w:rsidR="00292101" w:rsidRPr="00670C9D" w:rsidRDefault="00292101" w:rsidP="00061DE5">
            <w:pPr>
              <w:pStyle w:val="Header"/>
              <w:tabs>
                <w:tab w:val="clear" w:pos="4153"/>
                <w:tab w:val="clear" w:pos="8306"/>
              </w:tabs>
              <w:rPr>
                <w:color w:val="FF0000"/>
              </w:rPr>
            </w:pPr>
            <w:r w:rsidRPr="00670C9D">
              <w:rPr>
                <w:color w:val="FF0000"/>
              </w:rPr>
              <w:t>(please specify if present)</w:t>
            </w:r>
          </w:p>
        </w:tc>
        <w:tc>
          <w:tcPr>
            <w:tcW w:w="2835" w:type="dxa"/>
            <w:gridSpan w:val="3"/>
          </w:tcPr>
          <w:p w:rsidR="00292101" w:rsidRPr="00670C9D" w:rsidRDefault="00292101" w:rsidP="00061DE5">
            <w:pPr>
              <w:rPr>
                <w:b/>
                <w:color w:val="FF0000"/>
                <w:szCs w:val="22"/>
              </w:rPr>
            </w:pPr>
            <w:r w:rsidRPr="00670C9D">
              <w:rPr>
                <w:b/>
                <w:color w:val="FF0000"/>
                <w:szCs w:val="22"/>
              </w:rPr>
              <w:t>Residual Risk Level</w:t>
            </w:r>
          </w:p>
          <w:p w:rsidR="00292101" w:rsidRPr="00670C9D" w:rsidRDefault="00292101" w:rsidP="00061DE5">
            <w:pPr>
              <w:pStyle w:val="Header"/>
              <w:tabs>
                <w:tab w:val="clear" w:pos="4153"/>
                <w:tab w:val="clear" w:pos="8306"/>
              </w:tabs>
              <w:rPr>
                <w:color w:val="FF0000"/>
              </w:rPr>
            </w:pPr>
            <w:r w:rsidRPr="00670C9D">
              <w:rPr>
                <w:color w:val="FF0000"/>
              </w:rPr>
              <w:t>(Insert values and multiple</w:t>
            </w:r>
          </w:p>
          <w:p w:rsidR="00292101" w:rsidRPr="00670C9D" w:rsidRDefault="00292101" w:rsidP="00061DE5">
            <w:pPr>
              <w:pStyle w:val="Header"/>
              <w:tabs>
                <w:tab w:val="clear" w:pos="4153"/>
                <w:tab w:val="clear" w:pos="8306"/>
              </w:tabs>
              <w:rPr>
                <w:color w:val="FF0000"/>
              </w:rPr>
            </w:pPr>
            <w:r w:rsidRPr="00670C9D">
              <w:rPr>
                <w:color w:val="FF0000"/>
              </w:rPr>
              <w:t>score : see key )</w:t>
            </w:r>
          </w:p>
        </w:tc>
      </w:tr>
      <w:tr w:rsidR="00292101" w:rsidRPr="00670C9D" w:rsidTr="00061DE5">
        <w:trPr>
          <w:cantSplit/>
        </w:trPr>
        <w:tc>
          <w:tcPr>
            <w:tcW w:w="2802" w:type="dxa"/>
            <w:shd w:val="pct25" w:color="auto" w:fill="C0C0C0"/>
          </w:tcPr>
          <w:p w:rsidR="00292101" w:rsidRPr="00670C9D" w:rsidRDefault="00292101" w:rsidP="00061DE5">
            <w:pPr>
              <w:rPr>
                <w:color w:val="FF0000"/>
                <w:szCs w:val="22"/>
              </w:rPr>
            </w:pPr>
          </w:p>
        </w:tc>
        <w:tc>
          <w:tcPr>
            <w:tcW w:w="8788" w:type="dxa"/>
            <w:shd w:val="pct25" w:color="auto" w:fill="C0C0C0"/>
          </w:tcPr>
          <w:p w:rsidR="00292101" w:rsidRPr="00670C9D" w:rsidRDefault="00292101" w:rsidP="00061DE5">
            <w:pPr>
              <w:rPr>
                <w:color w:val="FF0000"/>
                <w:szCs w:val="22"/>
              </w:rPr>
            </w:pPr>
          </w:p>
        </w:tc>
        <w:tc>
          <w:tcPr>
            <w:tcW w:w="992" w:type="dxa"/>
          </w:tcPr>
          <w:p w:rsidR="00292101" w:rsidRPr="00670C9D" w:rsidRDefault="00292101" w:rsidP="00061DE5">
            <w:pPr>
              <w:jc w:val="center"/>
              <w:rPr>
                <w:b/>
                <w:color w:val="FF0000"/>
                <w:szCs w:val="22"/>
              </w:rPr>
            </w:pPr>
            <w:r w:rsidRPr="00670C9D">
              <w:rPr>
                <w:b/>
                <w:color w:val="FF0000"/>
                <w:szCs w:val="22"/>
              </w:rPr>
              <w:t>Low</w:t>
            </w:r>
          </w:p>
        </w:tc>
        <w:tc>
          <w:tcPr>
            <w:tcW w:w="993" w:type="dxa"/>
          </w:tcPr>
          <w:p w:rsidR="00292101" w:rsidRPr="00670C9D" w:rsidRDefault="00292101" w:rsidP="00061DE5">
            <w:pPr>
              <w:jc w:val="center"/>
              <w:rPr>
                <w:b/>
                <w:color w:val="FF0000"/>
                <w:szCs w:val="22"/>
              </w:rPr>
            </w:pPr>
            <w:r w:rsidRPr="00670C9D">
              <w:rPr>
                <w:b/>
                <w:color w:val="FF0000"/>
                <w:szCs w:val="22"/>
              </w:rPr>
              <w:t>Med</w:t>
            </w:r>
          </w:p>
        </w:tc>
        <w:tc>
          <w:tcPr>
            <w:tcW w:w="850" w:type="dxa"/>
          </w:tcPr>
          <w:p w:rsidR="00292101" w:rsidRPr="00670C9D" w:rsidRDefault="00292101" w:rsidP="00061DE5">
            <w:pPr>
              <w:jc w:val="center"/>
              <w:rPr>
                <w:b/>
                <w:color w:val="FF0000"/>
                <w:szCs w:val="22"/>
              </w:rPr>
            </w:pPr>
            <w:r w:rsidRPr="00670C9D">
              <w:rPr>
                <w:b/>
                <w:color w:val="FF0000"/>
                <w:szCs w:val="22"/>
              </w:rPr>
              <w:t>High</w:t>
            </w:r>
          </w:p>
        </w:tc>
      </w:tr>
      <w:tr w:rsidR="00292101" w:rsidRPr="00670C9D" w:rsidTr="00061DE5">
        <w:trPr>
          <w:cantSplit/>
        </w:trPr>
        <w:tc>
          <w:tcPr>
            <w:tcW w:w="2802" w:type="dxa"/>
          </w:tcPr>
          <w:p w:rsidR="00292101" w:rsidRPr="0035749B" w:rsidRDefault="00292101" w:rsidP="00061DE5">
            <w:r>
              <w:t>Injury caused by slips, trips and falls on difficult terrain: steep ground, very wet/waterlogged ground, narrow pat</w:t>
            </w:r>
            <w:r w:rsidRPr="00995843">
              <w:t>hs and rocky terrain.</w:t>
            </w:r>
          </w:p>
        </w:tc>
        <w:tc>
          <w:tcPr>
            <w:tcW w:w="8788" w:type="dxa"/>
          </w:tcPr>
          <w:p w:rsidR="00292101" w:rsidRPr="0035749B" w:rsidRDefault="00292101" w:rsidP="00061DE5">
            <w:r>
              <w:t xml:space="preserve">Lead instructor to be Mountain Leader (Summer) Award trained. </w:t>
            </w:r>
            <w:r w:rsidRPr="00995843">
              <w:t>Group to be briefed on potential hazard. Small or temporary hazards to be avoided where possible. Instructor to be at front and responsible adult at rear of group. Leading instructor to control and reduce group speed as necessary. Group to tackle very steep ground one at a time.</w:t>
            </w:r>
          </w:p>
        </w:tc>
        <w:tc>
          <w:tcPr>
            <w:tcW w:w="992" w:type="dxa"/>
          </w:tcPr>
          <w:p w:rsidR="00292101" w:rsidRDefault="00292101" w:rsidP="00061DE5"/>
          <w:p w:rsidR="00292101" w:rsidRPr="0035749B" w:rsidRDefault="00292101" w:rsidP="00061DE5">
            <w:pPr>
              <w:rPr>
                <w:sz w:val="21"/>
              </w:rPr>
            </w:pPr>
            <w:r>
              <w:t>3x2 = 6</w:t>
            </w:r>
          </w:p>
        </w:tc>
        <w:tc>
          <w:tcPr>
            <w:tcW w:w="993" w:type="dxa"/>
          </w:tcPr>
          <w:p w:rsidR="00292101" w:rsidRPr="00DE3F77" w:rsidRDefault="00292101" w:rsidP="00061DE5">
            <w:pPr>
              <w:rPr>
                <w:color w:val="FF0000"/>
                <w:sz w:val="21"/>
              </w:rPr>
            </w:pPr>
          </w:p>
        </w:tc>
        <w:tc>
          <w:tcPr>
            <w:tcW w:w="850" w:type="dxa"/>
          </w:tcPr>
          <w:p w:rsidR="00292101" w:rsidRPr="00670C9D" w:rsidRDefault="00292101" w:rsidP="00061DE5">
            <w:pPr>
              <w:rPr>
                <w:color w:val="FF0000"/>
                <w:sz w:val="21"/>
              </w:rPr>
            </w:pPr>
          </w:p>
        </w:tc>
      </w:tr>
      <w:tr w:rsidR="00292101" w:rsidRPr="00670C9D" w:rsidTr="00061DE5">
        <w:trPr>
          <w:cantSplit/>
        </w:trPr>
        <w:tc>
          <w:tcPr>
            <w:tcW w:w="2802" w:type="dxa"/>
          </w:tcPr>
          <w:p w:rsidR="00292101" w:rsidRPr="0035749B" w:rsidRDefault="00292101" w:rsidP="00061DE5">
            <w:r>
              <w:t xml:space="preserve">Upper Glens Rosa and </w:t>
            </w:r>
            <w:proofErr w:type="spellStart"/>
            <w:r>
              <w:t>Sannox</w:t>
            </w:r>
            <w:proofErr w:type="spellEnd"/>
            <w:r>
              <w:t>: illness or injury caused by wind chill, time taken for emergency services to reach group in an area of patchy or no mobile phone signal and long walk out to trail head.</w:t>
            </w:r>
          </w:p>
        </w:tc>
        <w:tc>
          <w:tcPr>
            <w:tcW w:w="8788" w:type="dxa"/>
          </w:tcPr>
          <w:p w:rsidR="00292101" w:rsidRPr="0035749B" w:rsidRDefault="00292101" w:rsidP="00061DE5">
            <w:r>
              <w:t xml:space="preserve">Between the large granite boulder in Glen Rosa (NR981397) and the burn below </w:t>
            </w:r>
            <w:proofErr w:type="spellStart"/>
            <w:r>
              <w:t>Cnocan</w:t>
            </w:r>
            <w:proofErr w:type="spellEnd"/>
            <w:r>
              <w:t xml:space="preserve"> Donna in Glen </w:t>
            </w:r>
            <w:proofErr w:type="spellStart"/>
            <w:r>
              <w:t>Sannox</w:t>
            </w:r>
            <w:proofErr w:type="spellEnd"/>
            <w:r>
              <w:t xml:space="preserve"> (NR999450) the route is more than 30 minutes from a trailhead and is classified as a Remote and Mountainous Area. If this route is taken then the lead instructor with each group (1:12) must be Mountain Leader (Summer) Award assessed. A confidence rope and emergency </w:t>
            </w:r>
            <w:proofErr w:type="spellStart"/>
            <w:r>
              <w:t>bothy</w:t>
            </w:r>
            <w:proofErr w:type="spellEnd"/>
            <w:r>
              <w:t xml:space="preserve"> shelter will be carried with each group (1:12) in accordance with the SSOP. The lead instructor will have previously walked the route.</w:t>
            </w:r>
          </w:p>
        </w:tc>
        <w:tc>
          <w:tcPr>
            <w:tcW w:w="992" w:type="dxa"/>
          </w:tcPr>
          <w:p w:rsidR="00292101" w:rsidRPr="0035749B" w:rsidRDefault="00292101" w:rsidP="00061DE5">
            <w:pPr>
              <w:rPr>
                <w:sz w:val="21"/>
              </w:rPr>
            </w:pPr>
          </w:p>
        </w:tc>
        <w:tc>
          <w:tcPr>
            <w:tcW w:w="993" w:type="dxa"/>
          </w:tcPr>
          <w:p w:rsidR="00292101" w:rsidRPr="00DE3F77" w:rsidRDefault="00292101" w:rsidP="00061DE5">
            <w:pPr>
              <w:rPr>
                <w:color w:val="FF0000"/>
              </w:rPr>
            </w:pPr>
          </w:p>
          <w:p w:rsidR="00292101" w:rsidRPr="009A30C4" w:rsidRDefault="00292101" w:rsidP="00061DE5">
            <w:pPr>
              <w:rPr>
                <w:sz w:val="21"/>
              </w:rPr>
            </w:pPr>
            <w:r w:rsidRPr="009A30C4">
              <w:t>4x2 = 8</w:t>
            </w:r>
          </w:p>
        </w:tc>
        <w:tc>
          <w:tcPr>
            <w:tcW w:w="850" w:type="dxa"/>
          </w:tcPr>
          <w:p w:rsidR="00292101" w:rsidRPr="00670C9D" w:rsidRDefault="00292101" w:rsidP="00061DE5">
            <w:pPr>
              <w:rPr>
                <w:color w:val="FF0000"/>
                <w:sz w:val="21"/>
              </w:rPr>
            </w:pPr>
          </w:p>
        </w:tc>
      </w:tr>
      <w:tr w:rsidR="00292101" w:rsidRPr="00670C9D" w:rsidTr="00061DE5">
        <w:trPr>
          <w:cantSplit/>
        </w:trPr>
        <w:tc>
          <w:tcPr>
            <w:tcW w:w="2802" w:type="dxa"/>
          </w:tcPr>
          <w:p w:rsidR="00292101" w:rsidRPr="0035749B" w:rsidRDefault="00292101" w:rsidP="00061DE5">
            <w:r>
              <w:t>Rosa Circuit footbridge: slips, trips and falls from narrow bridge with single handrail into deep plunge pool.</w:t>
            </w:r>
          </w:p>
        </w:tc>
        <w:tc>
          <w:tcPr>
            <w:tcW w:w="8788" w:type="dxa"/>
          </w:tcPr>
          <w:p w:rsidR="00292101" w:rsidRPr="0035749B" w:rsidRDefault="00292101" w:rsidP="00061DE5">
            <w:r>
              <w:t xml:space="preserve">Instructor to brief the group on the potential hazards prior to crossing the bridge. </w:t>
            </w:r>
            <w:r w:rsidRPr="00995843">
              <w:t xml:space="preserve">. Instructor to be at front and responsible adult at rear of group. </w:t>
            </w:r>
            <w:r>
              <w:t>The bridge and narrow path on the right bank to be traversed in single file.</w:t>
            </w:r>
          </w:p>
        </w:tc>
        <w:tc>
          <w:tcPr>
            <w:tcW w:w="992" w:type="dxa"/>
          </w:tcPr>
          <w:p w:rsidR="00292101" w:rsidRDefault="00292101" w:rsidP="00061DE5"/>
          <w:p w:rsidR="00292101" w:rsidRPr="0035749B" w:rsidRDefault="00292101" w:rsidP="00061DE5">
            <w:pPr>
              <w:rPr>
                <w:sz w:val="21"/>
              </w:rPr>
            </w:pPr>
            <w:r>
              <w:t>3x2 = 6</w:t>
            </w:r>
          </w:p>
        </w:tc>
        <w:tc>
          <w:tcPr>
            <w:tcW w:w="993" w:type="dxa"/>
          </w:tcPr>
          <w:p w:rsidR="00292101" w:rsidRPr="00DE3F77" w:rsidRDefault="00292101" w:rsidP="00061DE5">
            <w:pPr>
              <w:rPr>
                <w:color w:val="FF0000"/>
                <w:sz w:val="21"/>
              </w:rPr>
            </w:pPr>
          </w:p>
        </w:tc>
        <w:tc>
          <w:tcPr>
            <w:tcW w:w="850" w:type="dxa"/>
          </w:tcPr>
          <w:p w:rsidR="00292101" w:rsidRPr="00670C9D" w:rsidRDefault="00292101" w:rsidP="00061DE5">
            <w:pPr>
              <w:rPr>
                <w:color w:val="FF0000"/>
                <w:sz w:val="21"/>
              </w:rPr>
            </w:pPr>
          </w:p>
        </w:tc>
      </w:tr>
      <w:tr w:rsidR="00292101" w:rsidRPr="00670C9D" w:rsidTr="00061DE5">
        <w:trPr>
          <w:cantSplit/>
        </w:trPr>
        <w:tc>
          <w:tcPr>
            <w:tcW w:w="2802" w:type="dxa"/>
          </w:tcPr>
          <w:p w:rsidR="00292101" w:rsidRDefault="00292101" w:rsidP="00061DE5">
            <w:r>
              <w:t xml:space="preserve">Contact with </w:t>
            </w:r>
            <w:r w:rsidRPr="002359B4">
              <w:t>domestic animals injury or illness caused by cattle</w:t>
            </w:r>
            <w:r>
              <w:t>.</w:t>
            </w:r>
          </w:p>
        </w:tc>
        <w:tc>
          <w:tcPr>
            <w:tcW w:w="8788" w:type="dxa"/>
          </w:tcPr>
          <w:p w:rsidR="00292101" w:rsidRDefault="00292101" w:rsidP="00061DE5">
            <w:r>
              <w:t>Highland cattle are grazed in Glen Rosa and Brodick Country Park</w:t>
            </w:r>
            <w:r w:rsidRPr="002359B4">
              <w:t>. Instructor briefs group and leads them past the cattle. Participants behave in a calm and quiet manner. Participants never deliberately walk between a nursing mother and her calf.</w:t>
            </w:r>
          </w:p>
        </w:tc>
        <w:tc>
          <w:tcPr>
            <w:tcW w:w="992" w:type="dxa"/>
          </w:tcPr>
          <w:p w:rsidR="00292101" w:rsidRDefault="00292101" w:rsidP="00061DE5"/>
          <w:p w:rsidR="00292101" w:rsidRDefault="00292101" w:rsidP="00061DE5">
            <w:r>
              <w:t>3x2 = 6</w:t>
            </w:r>
          </w:p>
        </w:tc>
        <w:tc>
          <w:tcPr>
            <w:tcW w:w="993" w:type="dxa"/>
          </w:tcPr>
          <w:p w:rsidR="00292101" w:rsidRPr="00DE3F77" w:rsidRDefault="00292101" w:rsidP="00061DE5">
            <w:pPr>
              <w:rPr>
                <w:color w:val="FF0000"/>
                <w:sz w:val="21"/>
              </w:rPr>
            </w:pPr>
          </w:p>
        </w:tc>
        <w:tc>
          <w:tcPr>
            <w:tcW w:w="850" w:type="dxa"/>
          </w:tcPr>
          <w:p w:rsidR="00292101" w:rsidRPr="00670C9D" w:rsidRDefault="00292101" w:rsidP="00061DE5">
            <w:pPr>
              <w:rPr>
                <w:color w:val="FF0000"/>
                <w:sz w:val="21"/>
              </w:rPr>
            </w:pPr>
          </w:p>
        </w:tc>
      </w:tr>
      <w:tr w:rsidR="00292101" w:rsidRPr="00670C9D" w:rsidTr="00061DE5">
        <w:trPr>
          <w:cantSplit/>
        </w:trPr>
        <w:tc>
          <w:tcPr>
            <w:tcW w:w="2802" w:type="dxa"/>
          </w:tcPr>
          <w:p w:rsidR="00292101" w:rsidRPr="0035749B" w:rsidRDefault="00292101" w:rsidP="00061DE5">
            <w:r>
              <w:lastRenderedPageBreak/>
              <w:t>Injury caused by collapse of sections in sediment.</w:t>
            </w:r>
          </w:p>
        </w:tc>
        <w:tc>
          <w:tcPr>
            <w:tcW w:w="8788" w:type="dxa"/>
          </w:tcPr>
          <w:p w:rsidR="00292101" w:rsidRPr="0035749B" w:rsidRDefault="00292101" w:rsidP="00061DE5">
            <w:r>
              <w:t xml:space="preserve">Participants </w:t>
            </w:r>
            <w:r w:rsidRPr="001076B6">
              <w:t>to be briefed on potential hazards of working below faces in unconsolidated sediment and are directed to avoid particularly unstable areas. Hard hats ar</w:t>
            </w:r>
            <w:r>
              <w:t>e to be worn if working below a</w:t>
            </w:r>
            <w:r w:rsidRPr="001076B6">
              <w:t xml:space="preserve"> section which is more than 1 metre high or overhanging.</w:t>
            </w:r>
          </w:p>
        </w:tc>
        <w:tc>
          <w:tcPr>
            <w:tcW w:w="992" w:type="dxa"/>
          </w:tcPr>
          <w:p w:rsidR="00292101" w:rsidRPr="0035749B" w:rsidRDefault="00292101" w:rsidP="00061DE5">
            <w:pPr>
              <w:rPr>
                <w:sz w:val="21"/>
              </w:rPr>
            </w:pPr>
          </w:p>
        </w:tc>
        <w:tc>
          <w:tcPr>
            <w:tcW w:w="993" w:type="dxa"/>
          </w:tcPr>
          <w:p w:rsidR="00292101" w:rsidRPr="00DE3F77" w:rsidRDefault="00292101" w:rsidP="00061DE5">
            <w:pPr>
              <w:rPr>
                <w:color w:val="FF0000"/>
              </w:rPr>
            </w:pPr>
          </w:p>
          <w:p w:rsidR="00292101" w:rsidRPr="009A30C4" w:rsidRDefault="00292101" w:rsidP="00061DE5">
            <w:pPr>
              <w:rPr>
                <w:sz w:val="21"/>
              </w:rPr>
            </w:pPr>
            <w:r w:rsidRPr="009A30C4">
              <w:t>4x2 = 8</w:t>
            </w:r>
          </w:p>
        </w:tc>
        <w:tc>
          <w:tcPr>
            <w:tcW w:w="850" w:type="dxa"/>
          </w:tcPr>
          <w:p w:rsidR="00292101" w:rsidRPr="00670C9D" w:rsidRDefault="00292101" w:rsidP="00061DE5">
            <w:pPr>
              <w:rPr>
                <w:color w:val="FF0000"/>
                <w:sz w:val="21"/>
              </w:rPr>
            </w:pPr>
          </w:p>
        </w:tc>
      </w:tr>
      <w:tr w:rsidR="00292101" w:rsidRPr="00670C9D" w:rsidTr="00061DE5">
        <w:trPr>
          <w:cantSplit/>
        </w:trPr>
        <w:tc>
          <w:tcPr>
            <w:tcW w:w="2802" w:type="dxa"/>
          </w:tcPr>
          <w:p w:rsidR="00292101" w:rsidRPr="0035749B" w:rsidRDefault="00292101" w:rsidP="00061DE5">
            <w:r>
              <w:t>River Crossings. Injury caused by Slips, trips and falls in moving water.</w:t>
            </w:r>
          </w:p>
        </w:tc>
        <w:tc>
          <w:tcPr>
            <w:tcW w:w="8788" w:type="dxa"/>
          </w:tcPr>
          <w:p w:rsidR="00292101" w:rsidRPr="0035749B" w:rsidRDefault="00292101" w:rsidP="00061DE5">
            <w:r>
              <w:t>Participants to be briefed on underfoot conditions in the river and location of strong currents. Instructor demonstrates safe procedure and acts as spotter if required. Crossings are not made if river level is approaching knee level or is predicted to rise to knee level. Participants are made aware that safety takes priority.</w:t>
            </w:r>
          </w:p>
        </w:tc>
        <w:tc>
          <w:tcPr>
            <w:tcW w:w="992" w:type="dxa"/>
          </w:tcPr>
          <w:p w:rsidR="00292101" w:rsidRDefault="00292101" w:rsidP="00061DE5"/>
          <w:p w:rsidR="00292101" w:rsidRPr="0035749B" w:rsidRDefault="00292101" w:rsidP="00061DE5">
            <w:pPr>
              <w:rPr>
                <w:sz w:val="21"/>
              </w:rPr>
            </w:pPr>
            <w:r>
              <w:t>3x2 = 6</w:t>
            </w:r>
          </w:p>
        </w:tc>
        <w:tc>
          <w:tcPr>
            <w:tcW w:w="993" w:type="dxa"/>
          </w:tcPr>
          <w:p w:rsidR="00292101" w:rsidRPr="00DE3F77" w:rsidRDefault="00292101" w:rsidP="00061DE5">
            <w:pPr>
              <w:rPr>
                <w:color w:val="FF0000"/>
                <w:sz w:val="21"/>
              </w:rPr>
            </w:pPr>
          </w:p>
        </w:tc>
        <w:tc>
          <w:tcPr>
            <w:tcW w:w="850" w:type="dxa"/>
          </w:tcPr>
          <w:p w:rsidR="00292101" w:rsidRPr="00670C9D" w:rsidRDefault="00292101" w:rsidP="00061DE5">
            <w:pPr>
              <w:rPr>
                <w:color w:val="FF0000"/>
                <w:sz w:val="21"/>
              </w:rPr>
            </w:pPr>
          </w:p>
        </w:tc>
      </w:tr>
      <w:tr w:rsidR="00292101" w:rsidRPr="00670C9D" w:rsidTr="00061DE5">
        <w:trPr>
          <w:cantSplit/>
        </w:trPr>
        <w:tc>
          <w:tcPr>
            <w:tcW w:w="2802" w:type="dxa"/>
          </w:tcPr>
          <w:p w:rsidR="00292101" w:rsidRDefault="00292101" w:rsidP="00061DE5">
            <w:r>
              <w:t>Scrambling. Injury caused while traversing drop-offs, rock steps and scrambles.</w:t>
            </w:r>
          </w:p>
        </w:tc>
        <w:tc>
          <w:tcPr>
            <w:tcW w:w="8788" w:type="dxa"/>
          </w:tcPr>
          <w:p w:rsidR="00292101" w:rsidRDefault="00292101" w:rsidP="00061DE5">
            <w:r>
              <w:t xml:space="preserve">Instructor to brief the group prior to approaching the </w:t>
            </w:r>
            <w:proofErr w:type="spellStart"/>
            <w:r>
              <w:t>Whinn</w:t>
            </w:r>
            <w:proofErr w:type="spellEnd"/>
            <w:r>
              <w:t xml:space="preserve"> Dyke gully and takes the assessed route over the Saddle. Instructor or designated person to spot participants at significant hazards. Party moves as one group through the </w:t>
            </w:r>
            <w:proofErr w:type="spellStart"/>
            <w:r>
              <w:t>Whinn</w:t>
            </w:r>
            <w:proofErr w:type="spellEnd"/>
            <w:r>
              <w:t xml:space="preserve"> Dyke gully. In rapidly deteriorating conditions the "by pass" route through </w:t>
            </w:r>
            <w:proofErr w:type="spellStart"/>
            <w:r>
              <w:t>Coire</w:t>
            </w:r>
            <w:proofErr w:type="spellEnd"/>
            <w:r>
              <w:t xml:space="preserve"> </w:t>
            </w:r>
            <w:proofErr w:type="spellStart"/>
            <w:r>
              <w:t>nam</w:t>
            </w:r>
            <w:proofErr w:type="spellEnd"/>
            <w:r>
              <w:t xml:space="preserve"> </w:t>
            </w:r>
            <w:proofErr w:type="spellStart"/>
            <w:r>
              <w:t>Fuaran</w:t>
            </w:r>
            <w:proofErr w:type="spellEnd"/>
            <w:r>
              <w:t xml:space="preserve"> may be used as an emergency escape route.</w:t>
            </w:r>
          </w:p>
        </w:tc>
        <w:tc>
          <w:tcPr>
            <w:tcW w:w="992" w:type="dxa"/>
          </w:tcPr>
          <w:p w:rsidR="00292101" w:rsidRDefault="00292101" w:rsidP="00061DE5"/>
        </w:tc>
        <w:tc>
          <w:tcPr>
            <w:tcW w:w="993" w:type="dxa"/>
          </w:tcPr>
          <w:p w:rsidR="00292101" w:rsidRPr="00DE3F77" w:rsidRDefault="00292101" w:rsidP="00061DE5">
            <w:pPr>
              <w:rPr>
                <w:color w:val="FF0000"/>
              </w:rPr>
            </w:pPr>
          </w:p>
          <w:p w:rsidR="00292101" w:rsidRPr="009A30C4" w:rsidRDefault="00292101" w:rsidP="00061DE5">
            <w:pPr>
              <w:rPr>
                <w:sz w:val="21"/>
              </w:rPr>
            </w:pPr>
            <w:r w:rsidRPr="009A30C4">
              <w:t>4x2 = 8</w:t>
            </w:r>
          </w:p>
        </w:tc>
        <w:tc>
          <w:tcPr>
            <w:tcW w:w="850" w:type="dxa"/>
          </w:tcPr>
          <w:p w:rsidR="00292101" w:rsidRPr="00670C9D" w:rsidRDefault="00292101" w:rsidP="00061DE5">
            <w:pPr>
              <w:rPr>
                <w:color w:val="FF0000"/>
                <w:sz w:val="21"/>
              </w:rPr>
            </w:pPr>
          </w:p>
        </w:tc>
      </w:tr>
      <w:tr w:rsidR="00292101" w:rsidRPr="00670C9D" w:rsidTr="00061DE5">
        <w:trPr>
          <w:cantSplit/>
        </w:trPr>
        <w:tc>
          <w:tcPr>
            <w:tcW w:w="2802" w:type="dxa"/>
          </w:tcPr>
          <w:p w:rsidR="00292101" w:rsidRDefault="00292101" w:rsidP="00061DE5">
            <w:r>
              <w:t>Deer Stalking: injury caused by accidental interaction with deer management activities.</w:t>
            </w:r>
          </w:p>
        </w:tc>
        <w:tc>
          <w:tcPr>
            <w:tcW w:w="8788" w:type="dxa"/>
          </w:tcPr>
          <w:p w:rsidR="00292101" w:rsidRDefault="00292101" w:rsidP="00061DE5">
            <w:r>
              <w:t xml:space="preserve">Between 16 August and 20 October stalking activities are monitored using the </w:t>
            </w:r>
            <w:proofErr w:type="spellStart"/>
            <w:r>
              <w:t>Hillphone</w:t>
            </w:r>
            <w:proofErr w:type="spellEnd"/>
            <w:r>
              <w:t xml:space="preserve"> and an appropriate route selected through the high level area between </w:t>
            </w:r>
            <w:proofErr w:type="spellStart"/>
            <w:r>
              <w:t>Sannox</w:t>
            </w:r>
            <w:proofErr w:type="spellEnd"/>
            <w:r>
              <w:t xml:space="preserve"> and Glen Rosa on the </w:t>
            </w:r>
            <w:proofErr w:type="spellStart"/>
            <w:r>
              <w:t>Sannox</w:t>
            </w:r>
            <w:proofErr w:type="spellEnd"/>
            <w:r>
              <w:t xml:space="preserve"> and NTS </w:t>
            </w:r>
            <w:proofErr w:type="spellStart"/>
            <w:r>
              <w:t>Goatfell</w:t>
            </w:r>
            <w:proofErr w:type="spellEnd"/>
            <w:r>
              <w:t xml:space="preserve"> Estates. Group stay on the footpaths or follow main water courses during the stalking season.</w:t>
            </w:r>
          </w:p>
        </w:tc>
        <w:tc>
          <w:tcPr>
            <w:tcW w:w="992" w:type="dxa"/>
          </w:tcPr>
          <w:p w:rsidR="00292101" w:rsidRDefault="00292101" w:rsidP="00061DE5"/>
          <w:p w:rsidR="00292101" w:rsidRDefault="00292101" w:rsidP="00061DE5">
            <w:r>
              <w:t>4x1 = 4</w:t>
            </w:r>
          </w:p>
        </w:tc>
        <w:tc>
          <w:tcPr>
            <w:tcW w:w="993" w:type="dxa"/>
          </w:tcPr>
          <w:p w:rsidR="00292101" w:rsidRPr="00DE3F77" w:rsidRDefault="00292101" w:rsidP="00061DE5">
            <w:pPr>
              <w:rPr>
                <w:color w:val="FF0000"/>
                <w:sz w:val="21"/>
              </w:rPr>
            </w:pPr>
          </w:p>
        </w:tc>
        <w:tc>
          <w:tcPr>
            <w:tcW w:w="850" w:type="dxa"/>
          </w:tcPr>
          <w:p w:rsidR="00292101" w:rsidRPr="00670C9D" w:rsidRDefault="00292101" w:rsidP="00061DE5">
            <w:pPr>
              <w:rPr>
                <w:color w:val="FF0000"/>
                <w:sz w:val="21"/>
              </w:rPr>
            </w:pPr>
          </w:p>
        </w:tc>
      </w:tr>
      <w:tr w:rsidR="00292101" w:rsidRPr="00670C9D" w:rsidTr="00061DE5">
        <w:trPr>
          <w:cantSplit/>
        </w:trPr>
        <w:tc>
          <w:tcPr>
            <w:tcW w:w="2802" w:type="dxa"/>
          </w:tcPr>
          <w:p w:rsidR="00292101" w:rsidRDefault="00292101" w:rsidP="00061DE5">
            <w:r>
              <w:t>Old mine workings; injury or illness from collapse or ingestion of sump water.</w:t>
            </w:r>
          </w:p>
        </w:tc>
        <w:tc>
          <w:tcPr>
            <w:tcW w:w="8788" w:type="dxa"/>
          </w:tcPr>
          <w:p w:rsidR="00292101" w:rsidRDefault="00292101" w:rsidP="00061DE5">
            <w:r>
              <w:t xml:space="preserve">Instructor briefs participants on potential hazards before approaching the abandoned mine workings in Glen </w:t>
            </w:r>
            <w:proofErr w:type="spellStart"/>
            <w:r>
              <w:t>Sannox</w:t>
            </w:r>
            <w:proofErr w:type="spellEnd"/>
            <w:r>
              <w:t>. No one to enter the old mine workings, cross over safety fences or stand on remains of mine shaft caps.</w:t>
            </w:r>
          </w:p>
        </w:tc>
        <w:tc>
          <w:tcPr>
            <w:tcW w:w="992" w:type="dxa"/>
          </w:tcPr>
          <w:p w:rsidR="00292101" w:rsidRDefault="00292101" w:rsidP="00061DE5"/>
          <w:p w:rsidR="00292101" w:rsidRDefault="00292101" w:rsidP="00061DE5">
            <w:r>
              <w:t>4x1 = 1</w:t>
            </w:r>
          </w:p>
        </w:tc>
        <w:tc>
          <w:tcPr>
            <w:tcW w:w="993" w:type="dxa"/>
          </w:tcPr>
          <w:p w:rsidR="00292101" w:rsidRPr="00DE3F77" w:rsidRDefault="00292101" w:rsidP="00061DE5">
            <w:pPr>
              <w:rPr>
                <w:color w:val="FF0000"/>
                <w:sz w:val="21"/>
              </w:rPr>
            </w:pPr>
          </w:p>
        </w:tc>
        <w:tc>
          <w:tcPr>
            <w:tcW w:w="850" w:type="dxa"/>
          </w:tcPr>
          <w:p w:rsidR="00292101" w:rsidRPr="00670C9D" w:rsidRDefault="00292101" w:rsidP="00061DE5">
            <w:pPr>
              <w:rPr>
                <w:color w:val="FF0000"/>
                <w:sz w:val="21"/>
              </w:rPr>
            </w:pPr>
          </w:p>
        </w:tc>
      </w:tr>
      <w:tr w:rsidR="00292101" w:rsidRPr="00670C9D" w:rsidTr="00061DE5">
        <w:trPr>
          <w:cantSplit/>
        </w:trPr>
        <w:tc>
          <w:tcPr>
            <w:tcW w:w="2802" w:type="dxa"/>
          </w:tcPr>
          <w:p w:rsidR="00292101" w:rsidRDefault="00292101" w:rsidP="00061DE5">
            <w:r>
              <w:t>Adventure Playground at the NTS Brodick Castle Country Park.</w:t>
            </w:r>
          </w:p>
        </w:tc>
        <w:tc>
          <w:tcPr>
            <w:tcW w:w="8788" w:type="dxa"/>
          </w:tcPr>
          <w:p w:rsidR="00292101" w:rsidRDefault="00292101" w:rsidP="00EA7FE4">
            <w:r>
              <w:t>The adventure playground is owned by the National Trust for Scotland and is checked regularly by NTS personal as per their operating procedures. The instructor will carry out a rapid visual inspection of the play area looking for obviously damage and closed areas. Participants will be briefed on safe use of play area. Instructor to remain vigilant at all times.</w:t>
            </w:r>
          </w:p>
        </w:tc>
        <w:tc>
          <w:tcPr>
            <w:tcW w:w="992" w:type="dxa"/>
          </w:tcPr>
          <w:p w:rsidR="00292101" w:rsidRDefault="00292101" w:rsidP="00061DE5"/>
          <w:p w:rsidR="00292101" w:rsidRDefault="00292101" w:rsidP="00061DE5">
            <w:r>
              <w:t>3x2 = 6</w:t>
            </w:r>
          </w:p>
        </w:tc>
        <w:tc>
          <w:tcPr>
            <w:tcW w:w="993" w:type="dxa"/>
          </w:tcPr>
          <w:p w:rsidR="00292101" w:rsidRPr="00DE3F77" w:rsidRDefault="00292101" w:rsidP="00061DE5">
            <w:pPr>
              <w:rPr>
                <w:color w:val="FF0000"/>
                <w:sz w:val="21"/>
              </w:rPr>
            </w:pPr>
          </w:p>
        </w:tc>
        <w:tc>
          <w:tcPr>
            <w:tcW w:w="850" w:type="dxa"/>
          </w:tcPr>
          <w:p w:rsidR="00292101" w:rsidRPr="00670C9D" w:rsidRDefault="00292101" w:rsidP="00061DE5">
            <w:pPr>
              <w:rPr>
                <w:color w:val="FF0000"/>
                <w:sz w:val="21"/>
              </w:rPr>
            </w:pPr>
          </w:p>
        </w:tc>
      </w:tr>
    </w:tbl>
    <w:p w:rsidR="00292101" w:rsidRDefault="00292101" w:rsidP="00292101">
      <w:pPr>
        <w:pStyle w:val="Heading3"/>
        <w:jc w:val="center"/>
        <w:rPr>
          <w:b w:val="0"/>
          <w:sz w:val="23"/>
        </w:rPr>
      </w:pPr>
      <w:r>
        <w:rPr>
          <w:b w:val="0"/>
          <w:sz w:val="23"/>
        </w:rPr>
        <w:t>(Key:  1-7 = Low Risk; 8-15 = Medium Risk; 16-25 = High Risk)</w:t>
      </w:r>
    </w:p>
    <w:p w:rsidR="00292101" w:rsidRDefault="00292101" w:rsidP="00292101">
      <w:pPr>
        <w:rPr>
          <w:szCs w:val="22"/>
        </w:rPr>
      </w:pPr>
    </w:p>
    <w:p w:rsidR="00292101" w:rsidRDefault="00292101" w:rsidP="006D75B7">
      <w:pPr>
        <w:rPr>
          <w:szCs w:val="22"/>
        </w:rPr>
      </w:pPr>
      <w:r>
        <w:rPr>
          <w:szCs w:val="22"/>
        </w:rPr>
        <w:t xml:space="preserve">Endorsed </w:t>
      </w:r>
      <w:r w:rsidR="006D75B7">
        <w:rPr>
          <w:szCs w:val="22"/>
        </w:rPr>
        <w:t>for Lochranza Centre CIC by Chris Traill, Director</w:t>
      </w:r>
    </w:p>
    <w:p w:rsidR="00292101" w:rsidRDefault="00292101" w:rsidP="00292101">
      <w:pPr>
        <w:rPr>
          <w:szCs w:val="22"/>
        </w:rPr>
      </w:pPr>
    </w:p>
    <w:p w:rsidR="00292101" w:rsidRDefault="00292101" w:rsidP="00292101">
      <w:pPr>
        <w:rPr>
          <w:szCs w:val="22"/>
        </w:rPr>
      </w:pPr>
    </w:p>
    <w:p w:rsidR="00292101" w:rsidRDefault="00292101" w:rsidP="00292101">
      <w:pPr>
        <w:rPr>
          <w:szCs w:val="22"/>
        </w:rPr>
      </w:pPr>
    </w:p>
    <w:p w:rsidR="006D75B7" w:rsidRDefault="006D75B7" w:rsidP="00292101">
      <w:pPr>
        <w:rPr>
          <w:szCs w:val="22"/>
        </w:rPr>
      </w:pPr>
    </w:p>
    <w:p w:rsidR="006D75B7" w:rsidRPr="00325BAC" w:rsidRDefault="006C76FA" w:rsidP="00292101">
      <w:r>
        <w:rPr>
          <w:szCs w:val="22"/>
        </w:rPr>
        <w:t>Date: 22/01/2019</w:t>
      </w:r>
    </w:p>
    <w:p w:rsidR="00CC5CCB" w:rsidRDefault="00CC5CCB"/>
    <w:sectPr w:rsidR="00CC5CCB" w:rsidSect="001C4641">
      <w:footerReference w:type="default" r:id="rId7"/>
      <w:pgSz w:w="16838" w:h="11906" w:orient="landscape"/>
      <w:pgMar w:top="567" w:right="1440" w:bottom="87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C5" w:rsidRDefault="003173C5" w:rsidP="0056334B">
      <w:r>
        <w:separator/>
      </w:r>
    </w:p>
  </w:endnote>
  <w:endnote w:type="continuationSeparator" w:id="0">
    <w:p w:rsidR="003173C5" w:rsidRDefault="003173C5" w:rsidP="00563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77" w:rsidRDefault="00292101" w:rsidP="00575C7C">
    <w:pPr>
      <w:pStyle w:val="Footer"/>
    </w:pPr>
    <w:r>
      <w:t>SITE SPECIFIC RISK ASSESSMENT</w:t>
    </w:r>
  </w:p>
  <w:p w:rsidR="00DE3F77" w:rsidRDefault="00292101" w:rsidP="00575C7C">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C5" w:rsidRDefault="003173C5" w:rsidP="0056334B">
      <w:r>
        <w:separator/>
      </w:r>
    </w:p>
  </w:footnote>
  <w:footnote w:type="continuationSeparator" w:id="0">
    <w:p w:rsidR="003173C5" w:rsidRDefault="003173C5" w:rsidP="00563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101"/>
    <w:rsid w:val="00000F00"/>
    <w:rsid w:val="00004C24"/>
    <w:rsid w:val="000507D7"/>
    <w:rsid w:val="00070B3C"/>
    <w:rsid w:val="00075467"/>
    <w:rsid w:val="000B76B4"/>
    <w:rsid w:val="000C1C06"/>
    <w:rsid w:val="000D31B8"/>
    <w:rsid w:val="000E335A"/>
    <w:rsid w:val="000E357B"/>
    <w:rsid w:val="001213A3"/>
    <w:rsid w:val="001F4E72"/>
    <w:rsid w:val="00250E28"/>
    <w:rsid w:val="00257A49"/>
    <w:rsid w:val="00277D8C"/>
    <w:rsid w:val="002834AE"/>
    <w:rsid w:val="00290920"/>
    <w:rsid w:val="00292101"/>
    <w:rsid w:val="002D0A61"/>
    <w:rsid w:val="003173C5"/>
    <w:rsid w:val="003557E0"/>
    <w:rsid w:val="003E1B57"/>
    <w:rsid w:val="00474B12"/>
    <w:rsid w:val="00485D06"/>
    <w:rsid w:val="0049151B"/>
    <w:rsid w:val="004D1D13"/>
    <w:rsid w:val="00523EC8"/>
    <w:rsid w:val="00555465"/>
    <w:rsid w:val="0056334B"/>
    <w:rsid w:val="00565AEB"/>
    <w:rsid w:val="006570EA"/>
    <w:rsid w:val="006C76FA"/>
    <w:rsid w:val="006D75B7"/>
    <w:rsid w:val="007854ED"/>
    <w:rsid w:val="007C46C9"/>
    <w:rsid w:val="007C6B99"/>
    <w:rsid w:val="007D30DF"/>
    <w:rsid w:val="007E37F8"/>
    <w:rsid w:val="008C34C0"/>
    <w:rsid w:val="00913848"/>
    <w:rsid w:val="0092472E"/>
    <w:rsid w:val="00976F82"/>
    <w:rsid w:val="00A02C26"/>
    <w:rsid w:val="00A917F0"/>
    <w:rsid w:val="00AC1C3D"/>
    <w:rsid w:val="00B74CC7"/>
    <w:rsid w:val="00BA3333"/>
    <w:rsid w:val="00BA5CB4"/>
    <w:rsid w:val="00C33161"/>
    <w:rsid w:val="00C35B1A"/>
    <w:rsid w:val="00C526E7"/>
    <w:rsid w:val="00C74C75"/>
    <w:rsid w:val="00CC5CCB"/>
    <w:rsid w:val="00CC5E2E"/>
    <w:rsid w:val="00CF0A57"/>
    <w:rsid w:val="00CF645A"/>
    <w:rsid w:val="00D20FB5"/>
    <w:rsid w:val="00D6186C"/>
    <w:rsid w:val="00D65CA2"/>
    <w:rsid w:val="00E1411D"/>
    <w:rsid w:val="00E2299F"/>
    <w:rsid w:val="00E30597"/>
    <w:rsid w:val="00E30F4C"/>
    <w:rsid w:val="00E40A11"/>
    <w:rsid w:val="00E5017F"/>
    <w:rsid w:val="00EA7FE4"/>
    <w:rsid w:val="00ED55ED"/>
    <w:rsid w:val="00EE3B1D"/>
    <w:rsid w:val="00F14B3C"/>
    <w:rsid w:val="00F16EE9"/>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0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292101"/>
    <w:pPr>
      <w:keepNext/>
      <w:jc w:val="center"/>
      <w:outlineLvl w:val="0"/>
    </w:pPr>
    <w:rPr>
      <w:b/>
    </w:rPr>
  </w:style>
  <w:style w:type="paragraph" w:styleId="Heading3">
    <w:name w:val="heading 3"/>
    <w:basedOn w:val="Normal"/>
    <w:next w:val="Normal"/>
    <w:link w:val="Heading3Char"/>
    <w:qFormat/>
    <w:rsid w:val="00292101"/>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101"/>
    <w:rPr>
      <w:rFonts w:ascii="Arial" w:eastAsia="Times New Roman" w:hAnsi="Arial" w:cs="Times New Roman"/>
      <w:b/>
      <w:szCs w:val="20"/>
      <w:lang w:eastAsia="en-GB"/>
    </w:rPr>
  </w:style>
  <w:style w:type="character" w:customStyle="1" w:styleId="Heading3Char">
    <w:name w:val="Heading 3 Char"/>
    <w:basedOn w:val="DefaultParagraphFont"/>
    <w:link w:val="Heading3"/>
    <w:rsid w:val="00292101"/>
    <w:rPr>
      <w:rFonts w:ascii="Arial" w:eastAsia="Times New Roman" w:hAnsi="Arial" w:cs="Times New Roman"/>
      <w:b/>
      <w:sz w:val="24"/>
      <w:szCs w:val="20"/>
      <w:lang w:eastAsia="en-GB"/>
    </w:rPr>
  </w:style>
  <w:style w:type="paragraph" w:styleId="Header">
    <w:name w:val="header"/>
    <w:basedOn w:val="Normal"/>
    <w:link w:val="HeaderChar"/>
    <w:rsid w:val="00292101"/>
    <w:pPr>
      <w:tabs>
        <w:tab w:val="center" w:pos="4153"/>
        <w:tab w:val="right" w:pos="8306"/>
      </w:tabs>
    </w:pPr>
  </w:style>
  <w:style w:type="character" w:customStyle="1" w:styleId="HeaderChar">
    <w:name w:val="Header Char"/>
    <w:basedOn w:val="DefaultParagraphFont"/>
    <w:link w:val="Header"/>
    <w:rsid w:val="00292101"/>
    <w:rPr>
      <w:rFonts w:ascii="Arial" w:eastAsia="Times New Roman" w:hAnsi="Arial" w:cs="Times New Roman"/>
      <w:szCs w:val="20"/>
      <w:lang w:eastAsia="en-GB"/>
    </w:rPr>
  </w:style>
  <w:style w:type="paragraph" w:styleId="Footer">
    <w:name w:val="footer"/>
    <w:basedOn w:val="Normal"/>
    <w:link w:val="FooterChar"/>
    <w:unhideWhenUsed/>
    <w:rsid w:val="00292101"/>
    <w:pPr>
      <w:tabs>
        <w:tab w:val="center" w:pos="4513"/>
        <w:tab w:val="right" w:pos="9026"/>
      </w:tabs>
    </w:pPr>
  </w:style>
  <w:style w:type="character" w:customStyle="1" w:styleId="FooterChar">
    <w:name w:val="Footer Char"/>
    <w:basedOn w:val="DefaultParagraphFont"/>
    <w:link w:val="Footer"/>
    <w:rsid w:val="00292101"/>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4424</Characters>
  <Application>Microsoft Office Word</Application>
  <DocSecurity>0</DocSecurity>
  <Lines>36</Lines>
  <Paragraphs>10</Paragraphs>
  <ScaleCrop>false</ScaleCrop>
  <Company>Lochranza Centre CIC</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6</cp:revision>
  <dcterms:created xsi:type="dcterms:W3CDTF">2015-09-10T08:45:00Z</dcterms:created>
  <dcterms:modified xsi:type="dcterms:W3CDTF">2019-01-22T10:33:00Z</dcterms:modified>
</cp:coreProperties>
</file>