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EB" w:rsidRDefault="00E508EB" w:rsidP="00E508EB">
      <w:r w:rsidRPr="00E508EB">
        <w:rPr>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-255270</wp:posOffset>
            </wp:positionV>
            <wp:extent cx="1000125" cy="676275"/>
            <wp:effectExtent l="19050" t="0" r="0" b="0"/>
            <wp:wrapTight wrapText="bothSides">
              <wp:wrapPolygon edited="0">
                <wp:start x="-412" y="0"/>
                <wp:lineTo x="-412" y="20805"/>
                <wp:lineTo x="21421" y="20805"/>
                <wp:lineTo x="21421" y="0"/>
                <wp:lineTo x="-412" y="0"/>
              </wp:wrapPolygon>
            </wp:wrapTight>
            <wp:docPr id="1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E508EB" w:rsidRDefault="00E508EB" w:rsidP="00E508EB"/>
    <w:p w:rsidR="00E508EB" w:rsidRDefault="00E508EB" w:rsidP="00E508EB"/>
    <w:p w:rsidR="00E508EB" w:rsidRDefault="00E508EB" w:rsidP="00E508EB">
      <w:pPr>
        <w:jc w:val="center"/>
        <w:rPr>
          <w:b/>
          <w:color w:val="FF0000"/>
          <w:sz w:val="28"/>
          <w:szCs w:val="28"/>
        </w:rPr>
      </w:pPr>
      <w:r>
        <w:t xml:space="preserve">Lochranza Field </w:t>
      </w:r>
      <w:proofErr w:type="gramStart"/>
      <w:r>
        <w:t xml:space="preserve">Centre </w:t>
      </w:r>
      <w:r>
        <w:rPr>
          <w:sz w:val="21"/>
        </w:rPr>
        <w:t xml:space="preserve"> </w:t>
      </w:r>
      <w:r>
        <w:rPr>
          <w:b/>
          <w:sz w:val="28"/>
          <w:szCs w:val="28"/>
        </w:rPr>
        <w:t>Site</w:t>
      </w:r>
      <w:proofErr w:type="gramEnd"/>
      <w:r>
        <w:rPr>
          <w:b/>
          <w:sz w:val="28"/>
          <w:szCs w:val="28"/>
        </w:rPr>
        <w:t xml:space="preserve"> Specific Risk Assessment: </w:t>
      </w:r>
      <w:r w:rsidR="00760FB7">
        <w:t xml:space="preserve">Intro to Igneous Rocks: </w:t>
      </w:r>
      <w:proofErr w:type="spellStart"/>
      <w:r w:rsidR="00760FB7">
        <w:t>Tormore</w:t>
      </w:r>
      <w:proofErr w:type="spellEnd"/>
      <w:r w:rsidR="00760FB7">
        <w:t xml:space="preserve"> to </w:t>
      </w:r>
      <w:proofErr w:type="spellStart"/>
      <w:r w:rsidR="00760FB7">
        <w:t>Drumadoon</w:t>
      </w:r>
      <w:proofErr w:type="spellEnd"/>
    </w:p>
    <w:p w:rsidR="00E508EB" w:rsidRPr="0043579B" w:rsidRDefault="00E508EB" w:rsidP="00E508EB">
      <w:pPr>
        <w:rPr>
          <w:b/>
          <w:color w:val="FF0000"/>
          <w:sz w:val="28"/>
          <w:szCs w:val="28"/>
        </w:rPr>
      </w:pPr>
    </w:p>
    <w:p w:rsidR="00E508EB" w:rsidRDefault="00E508EB" w:rsidP="00E508EB">
      <w:pPr>
        <w:rPr>
          <w:b/>
          <w:szCs w:val="22"/>
        </w:rPr>
      </w:pPr>
      <w:r>
        <w:rPr>
          <w:b/>
          <w:szCs w:val="22"/>
        </w:rPr>
        <w:t xml:space="preserve">Date: </w:t>
      </w:r>
      <w:r w:rsidR="00D4608B">
        <w:rPr>
          <w:b/>
          <w:szCs w:val="22"/>
        </w:rPr>
        <w:t>22/01/2019</w:t>
      </w:r>
    </w:p>
    <w:p w:rsidR="0088332C" w:rsidRDefault="00E508EB" w:rsidP="00E508EB">
      <w:pPr>
        <w:rPr>
          <w:b/>
          <w:szCs w:val="22"/>
        </w:rPr>
      </w:pPr>
      <w:r>
        <w:rPr>
          <w:b/>
          <w:szCs w:val="22"/>
        </w:rPr>
        <w:t xml:space="preserve">Completed By: </w:t>
      </w:r>
      <w:r w:rsidR="0088332C">
        <w:rPr>
          <w:b/>
          <w:szCs w:val="22"/>
        </w:rPr>
        <w:t>Stuart Blake</w:t>
      </w:r>
    </w:p>
    <w:p w:rsidR="00E508EB" w:rsidRDefault="00E508EB" w:rsidP="00E508EB">
      <w:pPr>
        <w:rPr>
          <w:rFonts w:cs="Arial"/>
          <w:sz w:val="20"/>
        </w:rPr>
      </w:pPr>
      <w:r>
        <w:rPr>
          <w:rFonts w:cs="Arial"/>
          <w:sz w:val="20"/>
        </w:rPr>
        <w:t>Where Hazards have been identified as Generic to all activities the controls are specified within the Generic Instructing Standards</w:t>
      </w:r>
    </w:p>
    <w:p w:rsidR="00E508EB" w:rsidRPr="00FA2B37" w:rsidRDefault="00E508EB" w:rsidP="00E508EB">
      <w:pPr>
        <w:rPr>
          <w:rFonts w:cs="Arial"/>
          <w:sz w:val="20"/>
        </w:rPr>
      </w:pPr>
      <w:r w:rsidRPr="00FA2B37">
        <w:rPr>
          <w:rFonts w:cs="Arial"/>
          <w:sz w:val="20"/>
        </w:rPr>
        <w:t xml:space="preserve">Where Hazards have been identified as Generic to all </w:t>
      </w:r>
      <w:r w:rsidRPr="00FA2B37">
        <w:rPr>
          <w:sz w:val="20"/>
        </w:rPr>
        <w:t>Lochranza Field Studies</w:t>
      </w:r>
      <w:r w:rsidRPr="00FA2B37">
        <w:rPr>
          <w:rFonts w:cs="Arial"/>
          <w:sz w:val="20"/>
        </w:rPr>
        <w:t xml:space="preserve"> activities the controls are specified within the Generic Off </w:t>
      </w:r>
      <w:r w:rsidRPr="00FA2B37">
        <w:rPr>
          <w:sz w:val="20"/>
        </w:rPr>
        <w:t>Lochranza Local Operating Area Risk Assessment</w:t>
      </w:r>
    </w:p>
    <w:p w:rsidR="00E508EB" w:rsidRPr="00FA2B37" w:rsidRDefault="00E508EB" w:rsidP="00E508EB">
      <w:pPr>
        <w:rPr>
          <w:rFonts w:cs="Arial"/>
          <w:sz w:val="20"/>
        </w:rPr>
      </w:pPr>
      <w:r w:rsidRPr="00FA2B37">
        <w:rPr>
          <w:rFonts w:cs="Arial"/>
          <w:sz w:val="20"/>
        </w:rPr>
        <w:t>Where Hazards have been identified as Generic to all</w:t>
      </w:r>
      <w:r w:rsidRPr="00FA2B37">
        <w:rPr>
          <w:sz w:val="20"/>
        </w:rPr>
        <w:t xml:space="preserve"> coastal and beach Field Studies </w:t>
      </w:r>
      <w:r w:rsidRPr="00FA2B37">
        <w:rPr>
          <w:rFonts w:cs="Arial"/>
          <w:sz w:val="20"/>
        </w:rPr>
        <w:t xml:space="preserve">the controls are specified within the Generic Risk Assessment: </w:t>
      </w:r>
      <w:r w:rsidRPr="00FA2B37">
        <w:rPr>
          <w:sz w:val="20"/>
        </w:rPr>
        <w:t>Study - Coastal and Beaches</w:t>
      </w:r>
    </w:p>
    <w:p w:rsidR="00E508EB" w:rsidRPr="00670C9D" w:rsidRDefault="00E508EB" w:rsidP="00E508EB">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E508EB" w:rsidRPr="00670C9D" w:rsidTr="00061DE5">
        <w:tc>
          <w:tcPr>
            <w:tcW w:w="2802" w:type="dxa"/>
            <w:tcBorders>
              <w:bottom w:val="single" w:sz="4" w:space="0" w:color="auto"/>
            </w:tcBorders>
          </w:tcPr>
          <w:p w:rsidR="00E508EB" w:rsidRPr="00670C9D" w:rsidRDefault="00E508EB" w:rsidP="00061DE5">
            <w:pPr>
              <w:pStyle w:val="Heading1"/>
              <w:rPr>
                <w:color w:val="FF0000"/>
                <w:szCs w:val="22"/>
              </w:rPr>
            </w:pPr>
            <w:r w:rsidRPr="00670C9D">
              <w:rPr>
                <w:color w:val="FF0000"/>
                <w:szCs w:val="22"/>
              </w:rPr>
              <w:t>Hazards</w:t>
            </w:r>
          </w:p>
          <w:p w:rsidR="00E508EB" w:rsidRPr="00670C9D" w:rsidRDefault="00E508EB"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E508EB" w:rsidRPr="00670C9D" w:rsidRDefault="00E508EB" w:rsidP="00061DE5">
            <w:pPr>
              <w:rPr>
                <w:b/>
                <w:color w:val="FF0000"/>
                <w:szCs w:val="22"/>
              </w:rPr>
            </w:pPr>
            <w:r w:rsidRPr="00670C9D">
              <w:rPr>
                <w:b/>
                <w:color w:val="FF0000"/>
                <w:szCs w:val="22"/>
              </w:rPr>
              <w:t>Existing Control Measures</w:t>
            </w:r>
          </w:p>
          <w:p w:rsidR="00E508EB" w:rsidRPr="00670C9D" w:rsidRDefault="00E508EB"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E508EB" w:rsidRPr="00670C9D" w:rsidRDefault="00E508EB" w:rsidP="00061DE5">
            <w:pPr>
              <w:rPr>
                <w:b/>
                <w:color w:val="FF0000"/>
                <w:szCs w:val="22"/>
              </w:rPr>
            </w:pPr>
            <w:r w:rsidRPr="00670C9D">
              <w:rPr>
                <w:b/>
                <w:color w:val="FF0000"/>
                <w:szCs w:val="22"/>
              </w:rPr>
              <w:t>Residual Risk Level</w:t>
            </w:r>
          </w:p>
          <w:p w:rsidR="00E508EB" w:rsidRPr="00670C9D" w:rsidRDefault="00E508EB" w:rsidP="00061DE5">
            <w:pPr>
              <w:pStyle w:val="Header"/>
              <w:tabs>
                <w:tab w:val="clear" w:pos="4153"/>
                <w:tab w:val="clear" w:pos="8306"/>
              </w:tabs>
              <w:rPr>
                <w:color w:val="FF0000"/>
              </w:rPr>
            </w:pPr>
            <w:r w:rsidRPr="00670C9D">
              <w:rPr>
                <w:color w:val="FF0000"/>
              </w:rPr>
              <w:t>(Insert values and multiple</w:t>
            </w:r>
          </w:p>
          <w:p w:rsidR="00E508EB" w:rsidRPr="00670C9D" w:rsidRDefault="00E508EB" w:rsidP="00061DE5">
            <w:pPr>
              <w:pStyle w:val="Header"/>
              <w:tabs>
                <w:tab w:val="clear" w:pos="4153"/>
                <w:tab w:val="clear" w:pos="8306"/>
              </w:tabs>
              <w:rPr>
                <w:color w:val="FF0000"/>
              </w:rPr>
            </w:pPr>
            <w:r w:rsidRPr="00670C9D">
              <w:rPr>
                <w:color w:val="FF0000"/>
              </w:rPr>
              <w:t>score : see key )</w:t>
            </w:r>
          </w:p>
        </w:tc>
      </w:tr>
      <w:tr w:rsidR="00E508EB" w:rsidRPr="00670C9D" w:rsidTr="00061DE5">
        <w:trPr>
          <w:cantSplit/>
        </w:trPr>
        <w:tc>
          <w:tcPr>
            <w:tcW w:w="2802" w:type="dxa"/>
            <w:shd w:val="pct25" w:color="auto" w:fill="C0C0C0"/>
          </w:tcPr>
          <w:p w:rsidR="00E508EB" w:rsidRPr="00670C9D" w:rsidRDefault="00E508EB" w:rsidP="00061DE5">
            <w:pPr>
              <w:rPr>
                <w:color w:val="FF0000"/>
                <w:szCs w:val="22"/>
              </w:rPr>
            </w:pPr>
          </w:p>
        </w:tc>
        <w:tc>
          <w:tcPr>
            <w:tcW w:w="8788" w:type="dxa"/>
            <w:shd w:val="pct25" w:color="auto" w:fill="C0C0C0"/>
          </w:tcPr>
          <w:p w:rsidR="00E508EB" w:rsidRPr="00670C9D" w:rsidRDefault="00E508EB" w:rsidP="00061DE5">
            <w:pPr>
              <w:rPr>
                <w:color w:val="FF0000"/>
                <w:szCs w:val="22"/>
              </w:rPr>
            </w:pPr>
          </w:p>
        </w:tc>
        <w:tc>
          <w:tcPr>
            <w:tcW w:w="992" w:type="dxa"/>
          </w:tcPr>
          <w:p w:rsidR="00E508EB" w:rsidRPr="00670C9D" w:rsidRDefault="00E508EB" w:rsidP="00061DE5">
            <w:pPr>
              <w:jc w:val="center"/>
              <w:rPr>
                <w:b/>
                <w:color w:val="FF0000"/>
                <w:szCs w:val="22"/>
              </w:rPr>
            </w:pPr>
            <w:r w:rsidRPr="00670C9D">
              <w:rPr>
                <w:b/>
                <w:color w:val="FF0000"/>
                <w:szCs w:val="22"/>
              </w:rPr>
              <w:t>Low</w:t>
            </w:r>
          </w:p>
        </w:tc>
        <w:tc>
          <w:tcPr>
            <w:tcW w:w="993" w:type="dxa"/>
          </w:tcPr>
          <w:p w:rsidR="00E508EB" w:rsidRPr="00670C9D" w:rsidRDefault="00E508EB" w:rsidP="00061DE5">
            <w:pPr>
              <w:jc w:val="center"/>
              <w:rPr>
                <w:b/>
                <w:color w:val="FF0000"/>
                <w:szCs w:val="22"/>
              </w:rPr>
            </w:pPr>
            <w:r w:rsidRPr="00670C9D">
              <w:rPr>
                <w:b/>
                <w:color w:val="FF0000"/>
                <w:szCs w:val="22"/>
              </w:rPr>
              <w:t>Med</w:t>
            </w:r>
          </w:p>
        </w:tc>
        <w:tc>
          <w:tcPr>
            <w:tcW w:w="850" w:type="dxa"/>
          </w:tcPr>
          <w:p w:rsidR="00E508EB" w:rsidRPr="00670C9D" w:rsidRDefault="00E508EB" w:rsidP="00061DE5">
            <w:pPr>
              <w:jc w:val="center"/>
              <w:rPr>
                <w:b/>
                <w:color w:val="FF0000"/>
                <w:szCs w:val="22"/>
              </w:rPr>
            </w:pPr>
            <w:r w:rsidRPr="00670C9D">
              <w:rPr>
                <w:b/>
                <w:color w:val="FF0000"/>
                <w:szCs w:val="22"/>
              </w:rPr>
              <w:t>High</w:t>
            </w:r>
          </w:p>
        </w:tc>
      </w:tr>
      <w:tr w:rsidR="00E508EB" w:rsidRPr="00670C9D" w:rsidTr="00061DE5">
        <w:trPr>
          <w:cantSplit/>
        </w:trPr>
        <w:tc>
          <w:tcPr>
            <w:tcW w:w="2802" w:type="dxa"/>
          </w:tcPr>
          <w:p w:rsidR="00E508EB" w:rsidRPr="0035749B" w:rsidRDefault="00760FB7" w:rsidP="00061DE5">
            <w:r>
              <w:t>Drowning or being swept into the sea by waves.</w:t>
            </w:r>
          </w:p>
        </w:tc>
        <w:tc>
          <w:tcPr>
            <w:tcW w:w="8788" w:type="dxa"/>
          </w:tcPr>
          <w:p w:rsidR="00E508EB" w:rsidRPr="0035749B" w:rsidRDefault="00E508EB" w:rsidP="00061DE5">
            <w:r>
              <w:t>Students brie</w:t>
            </w:r>
            <w:r w:rsidR="00A17B5F">
              <w:t>fed on the hazards</w:t>
            </w:r>
            <w:r w:rsidR="00760FB7">
              <w:t>.  Tutor to ensure that they are closest to the sea and carry a throw line.  Tide and wave conditions and proximity to the sea to be monitored during the session.</w:t>
            </w:r>
          </w:p>
        </w:tc>
        <w:tc>
          <w:tcPr>
            <w:tcW w:w="992" w:type="dxa"/>
          </w:tcPr>
          <w:p w:rsidR="00E508EB" w:rsidRPr="0035749B" w:rsidRDefault="00E508EB" w:rsidP="00061DE5">
            <w:pPr>
              <w:rPr>
                <w:sz w:val="21"/>
              </w:rPr>
            </w:pPr>
          </w:p>
        </w:tc>
        <w:tc>
          <w:tcPr>
            <w:tcW w:w="993" w:type="dxa"/>
          </w:tcPr>
          <w:p w:rsidR="00E508EB" w:rsidRPr="0041171A" w:rsidRDefault="00E508EB" w:rsidP="00061DE5">
            <w:pPr>
              <w:rPr>
                <w:color w:val="FF0000"/>
              </w:rPr>
            </w:pPr>
          </w:p>
          <w:p w:rsidR="00E508EB" w:rsidRPr="0041171A" w:rsidRDefault="00E508EB" w:rsidP="00061DE5">
            <w:pPr>
              <w:rPr>
                <w:color w:val="FF0000"/>
                <w:sz w:val="21"/>
              </w:rPr>
            </w:pPr>
            <w:r w:rsidRPr="0041171A">
              <w:rPr>
                <w:color w:val="FF0000"/>
              </w:rPr>
              <w:t>4x2 = 8</w:t>
            </w: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Pr="0035749B" w:rsidRDefault="00A17B5F" w:rsidP="00061DE5">
            <w:r>
              <w:t>Caves and under cliffs -</w:t>
            </w:r>
            <w:r w:rsidR="00E508EB">
              <w:t>injury from falling rocks</w:t>
            </w:r>
            <w:r>
              <w:t xml:space="preserve"> &amp; trees</w:t>
            </w:r>
            <w:r w:rsidR="00E508EB">
              <w:t>.</w:t>
            </w:r>
          </w:p>
        </w:tc>
        <w:tc>
          <w:tcPr>
            <w:tcW w:w="8788" w:type="dxa"/>
          </w:tcPr>
          <w:p w:rsidR="00E508EB" w:rsidRPr="0035749B" w:rsidRDefault="00E508EB" w:rsidP="00061DE5">
            <w:r>
              <w:t xml:space="preserve">Hard hats to be worn in caves, below cliffs and while traversing the footpath </w:t>
            </w:r>
            <w:r w:rsidR="00A17B5F">
              <w:t>uphill</w:t>
            </w:r>
            <w:r w:rsidR="00CC7154">
              <w:t xml:space="preserve"> (this will result in ‘hands free’)</w:t>
            </w:r>
            <w:r>
              <w:t>.</w:t>
            </w:r>
            <w:r w:rsidR="00A17B5F">
              <w:t xml:space="preserve">  </w:t>
            </w:r>
          </w:p>
        </w:tc>
        <w:tc>
          <w:tcPr>
            <w:tcW w:w="992" w:type="dxa"/>
          </w:tcPr>
          <w:p w:rsidR="00E508EB" w:rsidRPr="0035749B" w:rsidRDefault="00E508EB" w:rsidP="00061DE5">
            <w:pPr>
              <w:rPr>
                <w:sz w:val="21"/>
              </w:rPr>
            </w:pPr>
            <w:r>
              <w:t>3x2 = 6</w:t>
            </w:r>
          </w:p>
        </w:tc>
        <w:tc>
          <w:tcPr>
            <w:tcW w:w="993" w:type="dxa"/>
          </w:tcPr>
          <w:p w:rsidR="00E508EB" w:rsidRPr="0041171A" w:rsidRDefault="00E508EB" w:rsidP="00061DE5">
            <w:pPr>
              <w:rPr>
                <w:color w:val="FF0000"/>
                <w:sz w:val="21"/>
              </w:rPr>
            </w:pP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Pr="0035749B" w:rsidRDefault="00E508EB" w:rsidP="00061DE5">
            <w:r>
              <w:t>Injury caused by the use of Geological Hammers or Acid Bottles.</w:t>
            </w:r>
          </w:p>
        </w:tc>
        <w:tc>
          <w:tcPr>
            <w:tcW w:w="8788" w:type="dxa"/>
          </w:tcPr>
          <w:p w:rsidR="00E508EB" w:rsidRPr="0035749B" w:rsidRDefault="00E508EB" w:rsidP="00061DE5">
            <w:r>
              <w:t>Geological hammers are not to be used in the field. When Acid Bottles are required they will be carried by the tutors or visiting staff at all times. Tutors and visiting staff will closely supervise their use by students. Acid bottles must be returned to chemical store.</w:t>
            </w:r>
          </w:p>
        </w:tc>
        <w:tc>
          <w:tcPr>
            <w:tcW w:w="992" w:type="dxa"/>
          </w:tcPr>
          <w:p w:rsidR="00E508EB" w:rsidRDefault="00E508EB" w:rsidP="00061DE5"/>
          <w:p w:rsidR="00E508EB" w:rsidRPr="0035749B" w:rsidRDefault="00E508EB" w:rsidP="00061DE5">
            <w:pPr>
              <w:rPr>
                <w:sz w:val="21"/>
              </w:rPr>
            </w:pPr>
            <w:r>
              <w:t>2x1 = 2</w:t>
            </w:r>
          </w:p>
        </w:tc>
        <w:tc>
          <w:tcPr>
            <w:tcW w:w="993" w:type="dxa"/>
          </w:tcPr>
          <w:p w:rsidR="00E508EB" w:rsidRPr="0041171A" w:rsidRDefault="00E508EB" w:rsidP="00061DE5">
            <w:pPr>
              <w:rPr>
                <w:color w:val="FF0000"/>
                <w:sz w:val="21"/>
              </w:rPr>
            </w:pP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Default="00E508EB" w:rsidP="00061DE5">
            <w:r>
              <w:t xml:space="preserve">Steep and unstable paths </w:t>
            </w:r>
            <w:r w:rsidR="00760FB7">
              <w:t xml:space="preserve">at An </w:t>
            </w:r>
            <w:proofErr w:type="spellStart"/>
            <w:r w:rsidR="00760FB7">
              <w:t>Cumhann</w:t>
            </w:r>
            <w:proofErr w:type="spellEnd"/>
            <w:r w:rsidR="00760FB7">
              <w:t xml:space="preserve"> (Arran Coastal Way) &amp; below the </w:t>
            </w:r>
            <w:proofErr w:type="spellStart"/>
            <w:r w:rsidR="00760FB7">
              <w:t>Drumadoon</w:t>
            </w:r>
            <w:proofErr w:type="spellEnd"/>
            <w:r w:rsidR="00760FB7">
              <w:t xml:space="preserve"> Sill.</w:t>
            </w:r>
          </w:p>
        </w:tc>
        <w:tc>
          <w:tcPr>
            <w:tcW w:w="8788" w:type="dxa"/>
          </w:tcPr>
          <w:p w:rsidR="00E508EB" w:rsidRDefault="00E508EB" w:rsidP="00061DE5">
            <w:r>
              <w:t>Students briefed on the hazards and spot guests at significant obsta</w:t>
            </w:r>
            <w:r w:rsidR="00A17B5F">
              <w:t xml:space="preserve">cles. </w:t>
            </w:r>
            <w:r w:rsidR="00760FB7">
              <w:t xml:space="preserve">At An </w:t>
            </w:r>
            <w:proofErr w:type="spellStart"/>
            <w:r w:rsidR="00760FB7">
              <w:t>Cumhann</w:t>
            </w:r>
            <w:proofErr w:type="spellEnd"/>
            <w:r w:rsidR="00760FB7">
              <w:t xml:space="preserve"> the group will be taken around the headland on the </w:t>
            </w:r>
            <w:proofErr w:type="spellStart"/>
            <w:r w:rsidR="00760FB7">
              <w:t>wavecut</w:t>
            </w:r>
            <w:proofErr w:type="spellEnd"/>
            <w:r w:rsidR="00760FB7">
              <w:t xml:space="preserve"> platform at low water in preference to the cliff path.  At very high tides &amp; in storm conditions it may not be possible to access the coastal Way Route below the </w:t>
            </w:r>
            <w:proofErr w:type="spellStart"/>
            <w:r w:rsidR="00760FB7">
              <w:t>Drumad</w:t>
            </w:r>
            <w:r w:rsidR="0088332C">
              <w:t>o</w:t>
            </w:r>
            <w:r w:rsidR="00760FB7">
              <w:t>on</w:t>
            </w:r>
            <w:proofErr w:type="spellEnd"/>
            <w:r w:rsidR="00760FB7">
              <w:t xml:space="preserve"> Sill &amp; the path over the top may be used.</w:t>
            </w:r>
          </w:p>
        </w:tc>
        <w:tc>
          <w:tcPr>
            <w:tcW w:w="992" w:type="dxa"/>
          </w:tcPr>
          <w:p w:rsidR="00E508EB" w:rsidRDefault="00E508EB" w:rsidP="00061DE5"/>
        </w:tc>
        <w:tc>
          <w:tcPr>
            <w:tcW w:w="993" w:type="dxa"/>
          </w:tcPr>
          <w:p w:rsidR="00E508EB" w:rsidRDefault="00E508EB" w:rsidP="00061DE5">
            <w:pPr>
              <w:rPr>
                <w:color w:val="FF0000"/>
              </w:rPr>
            </w:pPr>
          </w:p>
          <w:p w:rsidR="00E508EB" w:rsidRPr="0041171A" w:rsidRDefault="00E508EB" w:rsidP="00061DE5">
            <w:pPr>
              <w:rPr>
                <w:color w:val="FF0000"/>
                <w:sz w:val="21"/>
              </w:rPr>
            </w:pPr>
            <w:r w:rsidRPr="0041171A">
              <w:rPr>
                <w:color w:val="FF0000"/>
              </w:rPr>
              <w:t>3x3 = 9</w:t>
            </w: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Pr="0035749B" w:rsidRDefault="00A17B5F" w:rsidP="00061DE5">
            <w:r>
              <w:t>Debris/rubbish -</w:t>
            </w:r>
            <w:r w:rsidR="00E508EB">
              <w:t xml:space="preserve"> injury caused by coming in</w:t>
            </w:r>
            <w:r>
              <w:t>t</w:t>
            </w:r>
            <w:r w:rsidR="00760FB7">
              <w:t>o contact with sharp glass/metal/munitions</w:t>
            </w:r>
          </w:p>
        </w:tc>
        <w:tc>
          <w:tcPr>
            <w:tcW w:w="8788" w:type="dxa"/>
          </w:tcPr>
          <w:p w:rsidR="00E508EB" w:rsidRPr="0035749B" w:rsidRDefault="00CC7154" w:rsidP="00061DE5">
            <w:r>
              <w:t>Students warned no</w:t>
            </w:r>
            <w:r w:rsidR="00760FB7">
              <w:t xml:space="preserve">t to pick up or move any </w:t>
            </w:r>
            <w:r>
              <w:t>debris/ru</w:t>
            </w:r>
            <w:r w:rsidR="00760FB7">
              <w:t>bbish</w:t>
            </w:r>
            <w:r w:rsidR="00E508EB">
              <w:t xml:space="preserve">. Tutors to brief the group on hazards and keep them away from </w:t>
            </w:r>
            <w:r w:rsidR="00760FB7">
              <w:t xml:space="preserve">unusual </w:t>
            </w:r>
            <w:r w:rsidR="00E508EB">
              <w:t xml:space="preserve">debris where </w:t>
            </w:r>
            <w:r>
              <w:t>possible</w:t>
            </w:r>
            <w:r w:rsidR="00E508EB">
              <w:t>.</w:t>
            </w:r>
            <w:r w:rsidR="00760FB7">
              <w:t xml:space="preserve">  MOD ordnance can occasionally come ashore. </w:t>
            </w:r>
          </w:p>
        </w:tc>
        <w:tc>
          <w:tcPr>
            <w:tcW w:w="992" w:type="dxa"/>
          </w:tcPr>
          <w:p w:rsidR="00E508EB" w:rsidRDefault="00E508EB" w:rsidP="00061DE5"/>
          <w:p w:rsidR="00E508EB" w:rsidRPr="0035749B" w:rsidRDefault="00E508EB" w:rsidP="00061DE5">
            <w:pPr>
              <w:rPr>
                <w:sz w:val="21"/>
              </w:rPr>
            </w:pPr>
            <w:r>
              <w:t>4x1 = 4</w:t>
            </w:r>
          </w:p>
        </w:tc>
        <w:tc>
          <w:tcPr>
            <w:tcW w:w="993" w:type="dxa"/>
          </w:tcPr>
          <w:p w:rsidR="00E508EB" w:rsidRPr="00670C9D" w:rsidRDefault="00E508EB" w:rsidP="00061DE5">
            <w:pPr>
              <w:rPr>
                <w:color w:val="FF0000"/>
                <w:sz w:val="21"/>
              </w:rPr>
            </w:pP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Pr="0035749B" w:rsidRDefault="00E508EB" w:rsidP="00061DE5">
            <w:r>
              <w:t>Throwing stones. Injury to individuals from thrown stones.</w:t>
            </w:r>
          </w:p>
        </w:tc>
        <w:tc>
          <w:tcPr>
            <w:tcW w:w="8788" w:type="dxa"/>
          </w:tcPr>
          <w:p w:rsidR="00E508EB" w:rsidRPr="0035749B" w:rsidRDefault="00E508EB" w:rsidP="00061DE5">
            <w:r>
              <w:t>Tutors to brief group on the dangers of throwing</w:t>
            </w:r>
            <w:r w:rsidR="00CC7154">
              <w:t xml:space="preserve"> stones. This should not be permitted during the study.</w:t>
            </w:r>
          </w:p>
        </w:tc>
        <w:tc>
          <w:tcPr>
            <w:tcW w:w="992" w:type="dxa"/>
          </w:tcPr>
          <w:p w:rsidR="00E508EB" w:rsidRDefault="00E508EB" w:rsidP="00061DE5"/>
          <w:p w:rsidR="00E508EB" w:rsidRPr="0035749B" w:rsidRDefault="00E508EB" w:rsidP="00061DE5">
            <w:pPr>
              <w:rPr>
                <w:sz w:val="21"/>
              </w:rPr>
            </w:pPr>
            <w:r>
              <w:t>3x2 = 6</w:t>
            </w:r>
          </w:p>
        </w:tc>
        <w:tc>
          <w:tcPr>
            <w:tcW w:w="993" w:type="dxa"/>
          </w:tcPr>
          <w:p w:rsidR="00E508EB" w:rsidRPr="00670C9D" w:rsidRDefault="00E508EB" w:rsidP="00061DE5">
            <w:pPr>
              <w:rPr>
                <w:color w:val="FF0000"/>
                <w:sz w:val="21"/>
              </w:rPr>
            </w:pP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Default="005C65AB" w:rsidP="00061DE5">
            <w:r>
              <w:lastRenderedPageBreak/>
              <w:t>Golf Balls – being struck by a fast moving ball.</w:t>
            </w:r>
          </w:p>
        </w:tc>
        <w:tc>
          <w:tcPr>
            <w:tcW w:w="8788" w:type="dxa"/>
          </w:tcPr>
          <w:p w:rsidR="00E508EB" w:rsidRDefault="005C65AB" w:rsidP="00061DE5">
            <w:r>
              <w:t>Group briefed on dangers &amp; etiquette of the Golf Course. Golfers should be allowed to play through before leading groups along paths.  Where possible, groups should remain on the marked paths.</w:t>
            </w:r>
          </w:p>
        </w:tc>
        <w:tc>
          <w:tcPr>
            <w:tcW w:w="992" w:type="dxa"/>
          </w:tcPr>
          <w:p w:rsidR="00E508EB" w:rsidRDefault="00E508EB" w:rsidP="00061DE5">
            <w:r>
              <w:t>2x2 = 4</w:t>
            </w:r>
          </w:p>
        </w:tc>
        <w:tc>
          <w:tcPr>
            <w:tcW w:w="993" w:type="dxa"/>
          </w:tcPr>
          <w:p w:rsidR="00E508EB" w:rsidRPr="00670C9D" w:rsidRDefault="00E508EB" w:rsidP="00061DE5">
            <w:pPr>
              <w:rPr>
                <w:color w:val="FF0000"/>
                <w:sz w:val="21"/>
              </w:rPr>
            </w:pPr>
          </w:p>
        </w:tc>
        <w:tc>
          <w:tcPr>
            <w:tcW w:w="850" w:type="dxa"/>
          </w:tcPr>
          <w:p w:rsidR="00E508EB" w:rsidRPr="00670C9D" w:rsidRDefault="00E508EB" w:rsidP="00061DE5">
            <w:pPr>
              <w:rPr>
                <w:color w:val="FF0000"/>
                <w:sz w:val="21"/>
              </w:rPr>
            </w:pPr>
          </w:p>
        </w:tc>
      </w:tr>
      <w:tr w:rsidR="00E508EB" w:rsidRPr="00670C9D" w:rsidTr="00061DE5">
        <w:trPr>
          <w:cantSplit/>
        </w:trPr>
        <w:tc>
          <w:tcPr>
            <w:tcW w:w="2802" w:type="dxa"/>
          </w:tcPr>
          <w:p w:rsidR="00E508EB" w:rsidRDefault="00E508EB" w:rsidP="00061DE5">
            <w:r>
              <w:t>Hypothermia caused by sustained exposure to wet or windy conditions due to lack of shelter in the field.</w:t>
            </w:r>
          </w:p>
        </w:tc>
        <w:tc>
          <w:tcPr>
            <w:tcW w:w="8788" w:type="dxa"/>
          </w:tcPr>
          <w:p w:rsidR="00E508EB" w:rsidRDefault="00E508EB" w:rsidP="00061DE5">
            <w:pPr>
              <w:spacing w:line="276" w:lineRule="auto"/>
            </w:pPr>
            <w:r>
              <w:t>Group to carry an emergency shelter and sleeping bag in accordance with the SSOP. Tutor carries a flask with hot drink and monitors the condition of the group members</w:t>
            </w:r>
            <w:r w:rsidR="00CC7154">
              <w:t xml:space="preserve">.  </w:t>
            </w:r>
            <w:r w:rsidR="00D4608B">
              <w:t>Tutors to carry a casualty blizzard blanket.</w:t>
            </w:r>
          </w:p>
        </w:tc>
        <w:tc>
          <w:tcPr>
            <w:tcW w:w="992" w:type="dxa"/>
          </w:tcPr>
          <w:p w:rsidR="00E508EB" w:rsidRDefault="00E508EB" w:rsidP="00061DE5">
            <w:pPr>
              <w:spacing w:line="276" w:lineRule="auto"/>
            </w:pPr>
            <w:r>
              <w:t>3x2 = 6</w:t>
            </w:r>
          </w:p>
        </w:tc>
        <w:tc>
          <w:tcPr>
            <w:tcW w:w="993" w:type="dxa"/>
          </w:tcPr>
          <w:p w:rsidR="00E508EB" w:rsidRDefault="00E508EB" w:rsidP="00061DE5">
            <w:pPr>
              <w:spacing w:line="276" w:lineRule="auto"/>
            </w:pPr>
          </w:p>
          <w:p w:rsidR="00E508EB" w:rsidRDefault="00E508EB" w:rsidP="00061DE5">
            <w:pPr>
              <w:spacing w:line="276" w:lineRule="auto"/>
              <w:rPr>
                <w:sz w:val="21"/>
              </w:rPr>
            </w:pPr>
          </w:p>
        </w:tc>
        <w:tc>
          <w:tcPr>
            <w:tcW w:w="850" w:type="dxa"/>
          </w:tcPr>
          <w:p w:rsidR="00E508EB" w:rsidRPr="00670C9D" w:rsidRDefault="00E508EB" w:rsidP="00061DE5">
            <w:pPr>
              <w:rPr>
                <w:color w:val="FF0000"/>
                <w:sz w:val="21"/>
              </w:rPr>
            </w:pPr>
          </w:p>
        </w:tc>
      </w:tr>
    </w:tbl>
    <w:p w:rsidR="00E508EB" w:rsidRDefault="00E508EB" w:rsidP="00E508EB">
      <w:pPr>
        <w:pStyle w:val="Heading3"/>
        <w:jc w:val="center"/>
        <w:rPr>
          <w:b w:val="0"/>
          <w:sz w:val="23"/>
        </w:rPr>
      </w:pPr>
      <w:r>
        <w:rPr>
          <w:b w:val="0"/>
          <w:sz w:val="23"/>
        </w:rPr>
        <w:t>(Key:  1-7 = Low Risk; 8-15 = Medium Risk; 16-25 = High Risk)</w:t>
      </w:r>
    </w:p>
    <w:p w:rsidR="00E508EB" w:rsidRDefault="00E508EB" w:rsidP="00E508EB">
      <w:pPr>
        <w:rPr>
          <w:szCs w:val="22"/>
        </w:rPr>
      </w:pPr>
    </w:p>
    <w:p w:rsidR="00E508EB" w:rsidRDefault="00E508EB" w:rsidP="00073DA8">
      <w:pPr>
        <w:rPr>
          <w:szCs w:val="22"/>
        </w:rPr>
      </w:pPr>
      <w:r>
        <w:rPr>
          <w:szCs w:val="22"/>
        </w:rPr>
        <w:t xml:space="preserve">Endorsed </w:t>
      </w:r>
      <w:r w:rsidR="00073DA8">
        <w:rPr>
          <w:szCs w:val="22"/>
        </w:rPr>
        <w:t>for Lochranza Centre CIC by</w:t>
      </w:r>
      <w:r w:rsidR="0088332C">
        <w:rPr>
          <w:szCs w:val="22"/>
        </w:rPr>
        <w:t xml:space="preserve"> Stuart Blake</w:t>
      </w:r>
      <w:bookmarkStart w:id="0" w:name="_GoBack"/>
      <w:bookmarkEnd w:id="0"/>
      <w:r w:rsidR="00073DA8">
        <w:rPr>
          <w:szCs w:val="22"/>
        </w:rPr>
        <w:t>, Director</w:t>
      </w:r>
    </w:p>
    <w:p w:rsidR="00E508EB" w:rsidRDefault="00E508EB" w:rsidP="00E508EB">
      <w:pPr>
        <w:rPr>
          <w:szCs w:val="22"/>
        </w:rPr>
      </w:pPr>
    </w:p>
    <w:p w:rsidR="00E508EB" w:rsidRDefault="00E508EB" w:rsidP="00E508EB">
      <w:pPr>
        <w:rPr>
          <w:szCs w:val="22"/>
        </w:rPr>
      </w:pPr>
    </w:p>
    <w:p w:rsidR="00073DA8" w:rsidRDefault="00073DA8" w:rsidP="00E508EB">
      <w:pPr>
        <w:rPr>
          <w:szCs w:val="22"/>
        </w:rPr>
      </w:pPr>
    </w:p>
    <w:p w:rsidR="00E508EB" w:rsidRPr="00325BAC" w:rsidRDefault="00CC7154" w:rsidP="00E508EB">
      <w:r>
        <w:rPr>
          <w:szCs w:val="22"/>
        </w:rPr>
        <w:t xml:space="preserve">Date: </w:t>
      </w:r>
      <w:r w:rsidR="00D4608B">
        <w:rPr>
          <w:szCs w:val="22"/>
        </w:rPr>
        <w:t>22</w:t>
      </w:r>
      <w:r w:rsidR="005C65AB">
        <w:rPr>
          <w:szCs w:val="22"/>
        </w:rPr>
        <w:t>/0</w:t>
      </w:r>
      <w:r w:rsidR="0088332C">
        <w:rPr>
          <w:szCs w:val="22"/>
        </w:rPr>
        <w:t>1</w:t>
      </w:r>
      <w:r>
        <w:rPr>
          <w:szCs w:val="22"/>
        </w:rPr>
        <w:t>/1</w:t>
      </w:r>
      <w:r w:rsidR="00D4608B">
        <w:rPr>
          <w:szCs w:val="22"/>
        </w:rPr>
        <w:t>9</w:t>
      </w:r>
    </w:p>
    <w:p w:rsidR="00CC5CCB" w:rsidRDefault="00CC5CCB"/>
    <w:sectPr w:rsidR="00CC5CCB" w:rsidSect="001C4641">
      <w:footerReference w:type="default" r:id="rId7"/>
      <w:pgSz w:w="16838" w:h="11906" w:orient="landscape"/>
      <w:pgMar w:top="567"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C7" w:rsidRDefault="002B36C7" w:rsidP="00DC5DEB">
      <w:r>
        <w:separator/>
      </w:r>
    </w:p>
  </w:endnote>
  <w:endnote w:type="continuationSeparator" w:id="0">
    <w:p w:rsidR="002B36C7" w:rsidRDefault="002B36C7" w:rsidP="00DC5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7C" w:rsidRDefault="00E508EB" w:rsidP="00575C7C">
    <w:pPr>
      <w:pStyle w:val="Footer"/>
    </w:pPr>
    <w:r>
      <w:t>SITE SPECIFIC RISK ASSESSMENT</w:t>
    </w:r>
  </w:p>
  <w:p w:rsidR="00575C7C" w:rsidRDefault="00E508EB" w:rsidP="00575C7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C7" w:rsidRDefault="002B36C7" w:rsidP="00DC5DEB">
      <w:r>
        <w:separator/>
      </w:r>
    </w:p>
  </w:footnote>
  <w:footnote w:type="continuationSeparator" w:id="0">
    <w:p w:rsidR="002B36C7" w:rsidRDefault="002B36C7" w:rsidP="00DC5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8EB"/>
    <w:rsid w:val="00000F00"/>
    <w:rsid w:val="00004C24"/>
    <w:rsid w:val="00034785"/>
    <w:rsid w:val="000507D7"/>
    <w:rsid w:val="000657EA"/>
    <w:rsid w:val="00073DA8"/>
    <w:rsid w:val="00075467"/>
    <w:rsid w:val="000B76B4"/>
    <w:rsid w:val="000C1C06"/>
    <w:rsid w:val="000D31B8"/>
    <w:rsid w:val="000E357B"/>
    <w:rsid w:val="001213A3"/>
    <w:rsid w:val="00142E57"/>
    <w:rsid w:val="001F4E72"/>
    <w:rsid w:val="00250E28"/>
    <w:rsid w:val="00257A49"/>
    <w:rsid w:val="00277D8C"/>
    <w:rsid w:val="002834AE"/>
    <w:rsid w:val="00290920"/>
    <w:rsid w:val="0029709E"/>
    <w:rsid w:val="002B36C7"/>
    <w:rsid w:val="002D0A61"/>
    <w:rsid w:val="00325FE5"/>
    <w:rsid w:val="003557E0"/>
    <w:rsid w:val="00474B12"/>
    <w:rsid w:val="00485D06"/>
    <w:rsid w:val="0049151B"/>
    <w:rsid w:val="004D1D13"/>
    <w:rsid w:val="00565AEB"/>
    <w:rsid w:val="00574018"/>
    <w:rsid w:val="005C65AB"/>
    <w:rsid w:val="006570EA"/>
    <w:rsid w:val="00760FB7"/>
    <w:rsid w:val="00780E22"/>
    <w:rsid w:val="007854ED"/>
    <w:rsid w:val="007C46C9"/>
    <w:rsid w:val="007C6B99"/>
    <w:rsid w:val="007D30DF"/>
    <w:rsid w:val="007E37F8"/>
    <w:rsid w:val="0088332C"/>
    <w:rsid w:val="009128DC"/>
    <w:rsid w:val="00913848"/>
    <w:rsid w:val="0092472E"/>
    <w:rsid w:val="00976F82"/>
    <w:rsid w:val="00A02C26"/>
    <w:rsid w:val="00A17B5F"/>
    <w:rsid w:val="00A87670"/>
    <w:rsid w:val="00A917F0"/>
    <w:rsid w:val="00AB45E3"/>
    <w:rsid w:val="00AC1C3D"/>
    <w:rsid w:val="00B74CC7"/>
    <w:rsid w:val="00BA3333"/>
    <w:rsid w:val="00BA5CB4"/>
    <w:rsid w:val="00C35B1A"/>
    <w:rsid w:val="00C526E7"/>
    <w:rsid w:val="00C5426B"/>
    <w:rsid w:val="00CC5CCB"/>
    <w:rsid w:val="00CC5E2E"/>
    <w:rsid w:val="00CC7154"/>
    <w:rsid w:val="00CF0A57"/>
    <w:rsid w:val="00CF4A2E"/>
    <w:rsid w:val="00CF645A"/>
    <w:rsid w:val="00D16674"/>
    <w:rsid w:val="00D20FB5"/>
    <w:rsid w:val="00D4608B"/>
    <w:rsid w:val="00D65CA2"/>
    <w:rsid w:val="00DC330B"/>
    <w:rsid w:val="00DC5DEB"/>
    <w:rsid w:val="00E1411D"/>
    <w:rsid w:val="00E2299F"/>
    <w:rsid w:val="00E30597"/>
    <w:rsid w:val="00E30F4C"/>
    <w:rsid w:val="00E40A11"/>
    <w:rsid w:val="00E508EB"/>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EB"/>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E508EB"/>
    <w:pPr>
      <w:keepNext/>
      <w:jc w:val="center"/>
      <w:outlineLvl w:val="0"/>
    </w:pPr>
    <w:rPr>
      <w:b/>
    </w:rPr>
  </w:style>
  <w:style w:type="paragraph" w:styleId="Heading3">
    <w:name w:val="heading 3"/>
    <w:basedOn w:val="Normal"/>
    <w:next w:val="Normal"/>
    <w:link w:val="Heading3Char"/>
    <w:qFormat/>
    <w:rsid w:val="00E508E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EB"/>
    <w:rPr>
      <w:rFonts w:ascii="Arial" w:eastAsia="Times New Roman" w:hAnsi="Arial" w:cs="Times New Roman"/>
      <w:b/>
      <w:szCs w:val="20"/>
      <w:lang w:eastAsia="en-GB"/>
    </w:rPr>
  </w:style>
  <w:style w:type="character" w:customStyle="1" w:styleId="Heading3Char">
    <w:name w:val="Heading 3 Char"/>
    <w:basedOn w:val="DefaultParagraphFont"/>
    <w:link w:val="Heading3"/>
    <w:rsid w:val="00E508EB"/>
    <w:rPr>
      <w:rFonts w:ascii="Arial" w:eastAsia="Times New Roman" w:hAnsi="Arial" w:cs="Times New Roman"/>
      <w:b/>
      <w:sz w:val="24"/>
      <w:szCs w:val="20"/>
      <w:lang w:eastAsia="en-GB"/>
    </w:rPr>
  </w:style>
  <w:style w:type="paragraph" w:styleId="Header">
    <w:name w:val="header"/>
    <w:basedOn w:val="Normal"/>
    <w:link w:val="HeaderChar"/>
    <w:rsid w:val="00E508EB"/>
    <w:pPr>
      <w:tabs>
        <w:tab w:val="center" w:pos="4153"/>
        <w:tab w:val="right" w:pos="8306"/>
      </w:tabs>
    </w:pPr>
  </w:style>
  <w:style w:type="character" w:customStyle="1" w:styleId="HeaderChar">
    <w:name w:val="Header Char"/>
    <w:basedOn w:val="DefaultParagraphFont"/>
    <w:link w:val="Header"/>
    <w:rsid w:val="00E508EB"/>
    <w:rPr>
      <w:rFonts w:ascii="Arial" w:eastAsia="Times New Roman" w:hAnsi="Arial" w:cs="Times New Roman"/>
      <w:szCs w:val="20"/>
      <w:lang w:eastAsia="en-GB"/>
    </w:rPr>
  </w:style>
  <w:style w:type="paragraph" w:styleId="Footer">
    <w:name w:val="footer"/>
    <w:basedOn w:val="Normal"/>
    <w:link w:val="FooterChar"/>
    <w:unhideWhenUsed/>
    <w:rsid w:val="00E508EB"/>
    <w:pPr>
      <w:tabs>
        <w:tab w:val="center" w:pos="4513"/>
        <w:tab w:val="right" w:pos="9026"/>
      </w:tabs>
    </w:pPr>
  </w:style>
  <w:style w:type="character" w:customStyle="1" w:styleId="FooterChar">
    <w:name w:val="Footer Char"/>
    <w:basedOn w:val="DefaultParagraphFont"/>
    <w:link w:val="Footer"/>
    <w:rsid w:val="00E508EB"/>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Lochranza Centre CIC</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4</cp:revision>
  <cp:lastPrinted>2017-02-12T16:05:00Z</cp:lastPrinted>
  <dcterms:created xsi:type="dcterms:W3CDTF">2018-01-03T16:54:00Z</dcterms:created>
  <dcterms:modified xsi:type="dcterms:W3CDTF">2019-01-22T11:07:00Z</dcterms:modified>
</cp:coreProperties>
</file>