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1C" w:rsidRDefault="0074206A" w:rsidP="00E9441C">
      <w:pPr>
        <w:jc w:val="center"/>
        <w:rPr>
          <w:b/>
          <w:color w:val="FF0000"/>
          <w:sz w:val="28"/>
          <w:szCs w:val="28"/>
        </w:rPr>
      </w:pPr>
      <w:r w:rsidRPr="0074206A">
        <w:drawing>
          <wp:anchor distT="0" distB="0" distL="114300" distR="114300" simplePos="0" relativeHeight="251659264" behindDoc="1" locked="0" layoutInCell="1" allowOverlap="1">
            <wp:simplePos x="0" y="0"/>
            <wp:positionH relativeFrom="column">
              <wp:posOffset>-295275</wp:posOffset>
            </wp:positionH>
            <wp:positionV relativeFrom="paragraph">
              <wp:posOffset>-352425</wp:posOffset>
            </wp:positionV>
            <wp:extent cx="1000125" cy="676275"/>
            <wp:effectExtent l="19050" t="0" r="0" b="0"/>
            <wp:wrapTight wrapText="bothSides">
              <wp:wrapPolygon edited="0">
                <wp:start x="-412" y="0"/>
                <wp:lineTo x="-412" y="20805"/>
                <wp:lineTo x="21421" y="20805"/>
                <wp:lineTo x="21421" y="0"/>
                <wp:lineTo x="-412" y="0"/>
              </wp:wrapPolygon>
            </wp:wrapTight>
            <wp:docPr id="18" name="Picture 0" descr="LOGO 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C.jpg"/>
                    <pic:cNvPicPr/>
                  </pic:nvPicPr>
                  <pic:blipFill>
                    <a:blip r:embed="rId4" cstate="print"/>
                    <a:stretch>
                      <a:fillRect/>
                    </a:stretch>
                  </pic:blipFill>
                  <pic:spPr>
                    <a:xfrm>
                      <a:off x="0" y="0"/>
                      <a:ext cx="998855" cy="672465"/>
                    </a:xfrm>
                    <a:prstGeom prst="rect">
                      <a:avLst/>
                    </a:prstGeom>
                  </pic:spPr>
                </pic:pic>
              </a:graphicData>
            </a:graphic>
          </wp:anchor>
        </w:drawing>
      </w:r>
      <w:r w:rsidR="00E9441C">
        <w:t xml:space="preserve">Lochranza Field </w:t>
      </w:r>
      <w:proofErr w:type="gramStart"/>
      <w:r w:rsidR="00E9441C">
        <w:t xml:space="preserve">Centre </w:t>
      </w:r>
      <w:r w:rsidR="00E9441C">
        <w:rPr>
          <w:sz w:val="21"/>
        </w:rPr>
        <w:t xml:space="preserve"> </w:t>
      </w:r>
      <w:r w:rsidR="00E9441C">
        <w:rPr>
          <w:b/>
          <w:sz w:val="28"/>
          <w:szCs w:val="28"/>
        </w:rPr>
        <w:t>Site</w:t>
      </w:r>
      <w:proofErr w:type="gramEnd"/>
      <w:r w:rsidR="00E9441C">
        <w:rPr>
          <w:b/>
          <w:sz w:val="28"/>
          <w:szCs w:val="28"/>
        </w:rPr>
        <w:t xml:space="preserve"> Specific Risk Assessment: </w:t>
      </w:r>
      <w:r w:rsidR="00E9441C">
        <w:t xml:space="preserve">Cross-Cutting/Relative Dating: North Glen </w:t>
      </w:r>
      <w:proofErr w:type="spellStart"/>
      <w:r w:rsidR="00E9441C">
        <w:t>Sannox</w:t>
      </w:r>
      <w:proofErr w:type="spellEnd"/>
    </w:p>
    <w:p w:rsidR="00E9441C" w:rsidRDefault="00E9441C" w:rsidP="00E9441C">
      <w:pPr>
        <w:rPr>
          <w:b/>
          <w:color w:val="FF0000"/>
          <w:sz w:val="28"/>
          <w:szCs w:val="28"/>
        </w:rPr>
      </w:pPr>
    </w:p>
    <w:p w:rsidR="00E9441C" w:rsidRDefault="00E9441C" w:rsidP="00E9441C">
      <w:pPr>
        <w:rPr>
          <w:b/>
          <w:szCs w:val="22"/>
        </w:rPr>
      </w:pPr>
      <w:r>
        <w:rPr>
          <w:b/>
          <w:szCs w:val="22"/>
        </w:rPr>
        <w:t>Date: 22</w:t>
      </w:r>
      <w:r>
        <w:t>/01/2019</w:t>
      </w:r>
    </w:p>
    <w:p w:rsidR="00E9441C" w:rsidRDefault="00E9441C" w:rsidP="00E9441C">
      <w:pPr>
        <w:rPr>
          <w:b/>
          <w:szCs w:val="22"/>
        </w:rPr>
      </w:pPr>
    </w:p>
    <w:p w:rsidR="00E9441C" w:rsidRDefault="00E9441C" w:rsidP="00E9441C">
      <w:pPr>
        <w:rPr>
          <w:b/>
          <w:szCs w:val="22"/>
        </w:rPr>
      </w:pPr>
      <w:r>
        <w:rPr>
          <w:b/>
          <w:szCs w:val="22"/>
        </w:rPr>
        <w:t>Completed By: Stuart Blake</w:t>
      </w:r>
      <w:bookmarkStart w:id="0" w:name="_GoBack"/>
      <w:bookmarkEnd w:id="0"/>
    </w:p>
    <w:p w:rsidR="00E9441C" w:rsidRDefault="00E9441C" w:rsidP="00E9441C">
      <w:pPr>
        <w:rPr>
          <w:rFonts w:cs="Arial"/>
          <w:sz w:val="20"/>
        </w:rPr>
      </w:pPr>
      <w:r>
        <w:rPr>
          <w:rFonts w:cs="Arial"/>
          <w:sz w:val="20"/>
        </w:rPr>
        <w:t>Where Hazards have been identified as Generic to all activities the controls are specified within the Generic Instructing Standards</w:t>
      </w:r>
    </w:p>
    <w:p w:rsidR="00E9441C" w:rsidRDefault="00E9441C" w:rsidP="00E9441C">
      <w:pPr>
        <w:rPr>
          <w:rFonts w:cs="Arial"/>
          <w:sz w:val="20"/>
        </w:rPr>
      </w:pPr>
      <w:r>
        <w:rPr>
          <w:rFonts w:cs="Arial"/>
          <w:sz w:val="20"/>
        </w:rPr>
        <w:t xml:space="preserve">Where Hazards have been identified as </w:t>
      </w:r>
      <w:proofErr w:type="gramStart"/>
      <w:r>
        <w:rPr>
          <w:rFonts w:cs="Arial"/>
          <w:sz w:val="20"/>
        </w:rPr>
        <w:t>Generic</w:t>
      </w:r>
      <w:proofErr w:type="gramEnd"/>
      <w:r>
        <w:rPr>
          <w:rFonts w:cs="Arial"/>
          <w:sz w:val="20"/>
        </w:rPr>
        <w:t xml:space="preserve"> to all </w:t>
      </w:r>
      <w:r>
        <w:rPr>
          <w:sz w:val="20"/>
        </w:rPr>
        <w:t>Lochranza Field Studies</w:t>
      </w:r>
      <w:r>
        <w:rPr>
          <w:rFonts w:cs="Arial"/>
          <w:sz w:val="20"/>
        </w:rPr>
        <w:t xml:space="preserve"> activities the controls are specified within the Generic Off </w:t>
      </w:r>
      <w:r>
        <w:rPr>
          <w:sz w:val="20"/>
        </w:rPr>
        <w:t>Lochranza Local Operating Area Risk Assessment</w:t>
      </w:r>
    </w:p>
    <w:p w:rsidR="00E9441C" w:rsidRDefault="00E9441C" w:rsidP="00E9441C">
      <w:pPr>
        <w:rPr>
          <w:rFonts w:cs="Arial"/>
          <w:sz w:val="20"/>
        </w:rPr>
      </w:pPr>
      <w:r>
        <w:rPr>
          <w:rFonts w:cs="Arial"/>
          <w:sz w:val="20"/>
        </w:rPr>
        <w:t xml:space="preserve">Where Hazards have been identified as </w:t>
      </w:r>
      <w:proofErr w:type="gramStart"/>
      <w:r>
        <w:rPr>
          <w:rFonts w:cs="Arial"/>
          <w:sz w:val="20"/>
        </w:rPr>
        <w:t>Generic</w:t>
      </w:r>
      <w:proofErr w:type="gramEnd"/>
      <w:r>
        <w:rPr>
          <w:rFonts w:cs="Arial"/>
          <w:sz w:val="20"/>
        </w:rPr>
        <w:t xml:space="preserve"> to all</w:t>
      </w:r>
      <w:r>
        <w:rPr>
          <w:sz w:val="20"/>
        </w:rPr>
        <w:t xml:space="preserve"> open moorland Field Studies</w:t>
      </w:r>
      <w:r>
        <w:rPr>
          <w:rFonts w:cs="Arial"/>
          <w:sz w:val="20"/>
        </w:rPr>
        <w:t xml:space="preserve"> the controls are specified within the Generic Risk Assessment: </w:t>
      </w:r>
      <w:r>
        <w:rPr>
          <w:sz w:val="20"/>
        </w:rPr>
        <w:t>Study - Open Moorland.</w:t>
      </w:r>
    </w:p>
    <w:p w:rsidR="00E9441C" w:rsidRDefault="00E9441C" w:rsidP="00E9441C">
      <w:pPr>
        <w:tabs>
          <w:tab w:val="center" w:pos="6979"/>
        </w:tabs>
        <w:rPr>
          <w:color w:val="FF0000"/>
          <w:szCs w:val="22"/>
        </w:rPr>
      </w:pP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4"/>
        <w:gridCol w:w="8791"/>
        <w:gridCol w:w="992"/>
        <w:gridCol w:w="993"/>
        <w:gridCol w:w="850"/>
      </w:tblGrid>
      <w:tr w:rsidR="00E9441C" w:rsidTr="00E9441C">
        <w:tc>
          <w:tcPr>
            <w:tcW w:w="2802" w:type="dxa"/>
            <w:tcBorders>
              <w:top w:val="single" w:sz="4" w:space="0" w:color="auto"/>
              <w:left w:val="single" w:sz="4" w:space="0" w:color="auto"/>
              <w:bottom w:val="single" w:sz="4" w:space="0" w:color="auto"/>
              <w:right w:val="single" w:sz="4" w:space="0" w:color="auto"/>
            </w:tcBorders>
            <w:hideMark/>
          </w:tcPr>
          <w:p w:rsidR="00E9441C" w:rsidRDefault="00E9441C">
            <w:pPr>
              <w:pStyle w:val="Heading1"/>
              <w:spacing w:line="276" w:lineRule="auto"/>
              <w:rPr>
                <w:color w:val="FF0000"/>
                <w:szCs w:val="22"/>
              </w:rPr>
            </w:pPr>
            <w:r>
              <w:rPr>
                <w:color w:val="FF0000"/>
                <w:szCs w:val="22"/>
              </w:rPr>
              <w:t>Hazards</w:t>
            </w:r>
          </w:p>
          <w:p w:rsidR="00E9441C" w:rsidRDefault="00E9441C">
            <w:pPr>
              <w:spacing w:line="276" w:lineRule="auto"/>
              <w:rPr>
                <w:color w:val="FF0000"/>
                <w:szCs w:val="22"/>
              </w:rPr>
            </w:pPr>
            <w:r>
              <w:rPr>
                <w:color w:val="FF0000"/>
                <w:szCs w:val="22"/>
              </w:rPr>
              <w:t xml:space="preserve">      (please specify)</w:t>
            </w:r>
          </w:p>
        </w:tc>
        <w:tc>
          <w:tcPr>
            <w:tcW w:w="8788" w:type="dxa"/>
            <w:tcBorders>
              <w:top w:val="single" w:sz="4" w:space="0" w:color="auto"/>
              <w:left w:val="single" w:sz="4" w:space="0" w:color="auto"/>
              <w:bottom w:val="single" w:sz="4" w:space="0" w:color="auto"/>
              <w:right w:val="single" w:sz="4" w:space="0" w:color="auto"/>
            </w:tcBorders>
            <w:hideMark/>
          </w:tcPr>
          <w:p w:rsidR="00E9441C" w:rsidRDefault="00E9441C">
            <w:pPr>
              <w:spacing w:line="276" w:lineRule="auto"/>
              <w:rPr>
                <w:b/>
                <w:color w:val="FF0000"/>
                <w:szCs w:val="22"/>
              </w:rPr>
            </w:pPr>
            <w:r>
              <w:rPr>
                <w:b/>
                <w:color w:val="FF0000"/>
                <w:szCs w:val="22"/>
              </w:rPr>
              <w:t>Existing Control Measures</w:t>
            </w:r>
          </w:p>
          <w:p w:rsidR="00E9441C" w:rsidRDefault="00E9441C">
            <w:pPr>
              <w:pStyle w:val="Header"/>
              <w:tabs>
                <w:tab w:val="left" w:pos="720"/>
              </w:tabs>
              <w:spacing w:line="276" w:lineRule="auto"/>
              <w:rPr>
                <w:color w:val="FF0000"/>
              </w:rPr>
            </w:pPr>
            <w:r>
              <w:rPr>
                <w:color w:val="FF0000"/>
              </w:rPr>
              <w:t>(please specify if present)</w:t>
            </w:r>
          </w:p>
        </w:tc>
        <w:tc>
          <w:tcPr>
            <w:tcW w:w="2835" w:type="dxa"/>
            <w:gridSpan w:val="3"/>
            <w:tcBorders>
              <w:top w:val="single" w:sz="4" w:space="0" w:color="auto"/>
              <w:left w:val="single" w:sz="4" w:space="0" w:color="auto"/>
              <w:bottom w:val="single" w:sz="4" w:space="0" w:color="auto"/>
              <w:right w:val="single" w:sz="4" w:space="0" w:color="auto"/>
            </w:tcBorders>
            <w:hideMark/>
          </w:tcPr>
          <w:p w:rsidR="00E9441C" w:rsidRDefault="00E9441C">
            <w:pPr>
              <w:spacing w:line="276" w:lineRule="auto"/>
              <w:rPr>
                <w:b/>
                <w:color w:val="FF0000"/>
                <w:szCs w:val="22"/>
              </w:rPr>
            </w:pPr>
            <w:r>
              <w:rPr>
                <w:b/>
                <w:color w:val="FF0000"/>
                <w:szCs w:val="22"/>
              </w:rPr>
              <w:t>Residual Risk Level</w:t>
            </w:r>
          </w:p>
          <w:p w:rsidR="00E9441C" w:rsidRDefault="00E9441C">
            <w:pPr>
              <w:pStyle w:val="Header"/>
              <w:tabs>
                <w:tab w:val="left" w:pos="720"/>
              </w:tabs>
              <w:spacing w:line="276" w:lineRule="auto"/>
              <w:rPr>
                <w:color w:val="FF0000"/>
              </w:rPr>
            </w:pPr>
            <w:r>
              <w:rPr>
                <w:color w:val="FF0000"/>
              </w:rPr>
              <w:t>(Insert values and multiple</w:t>
            </w:r>
          </w:p>
          <w:p w:rsidR="00E9441C" w:rsidRDefault="00E9441C">
            <w:pPr>
              <w:pStyle w:val="Header"/>
              <w:tabs>
                <w:tab w:val="left" w:pos="720"/>
              </w:tabs>
              <w:spacing w:line="276" w:lineRule="auto"/>
              <w:rPr>
                <w:color w:val="FF0000"/>
              </w:rPr>
            </w:pPr>
            <w:r>
              <w:rPr>
                <w:color w:val="FF0000"/>
              </w:rPr>
              <w:t>score : see key )</w:t>
            </w:r>
          </w:p>
        </w:tc>
      </w:tr>
      <w:tr w:rsidR="00E9441C" w:rsidTr="00E9441C">
        <w:trPr>
          <w:cantSplit/>
        </w:trPr>
        <w:tc>
          <w:tcPr>
            <w:tcW w:w="2802" w:type="dxa"/>
            <w:tcBorders>
              <w:top w:val="single" w:sz="4" w:space="0" w:color="auto"/>
              <w:left w:val="single" w:sz="4" w:space="0" w:color="auto"/>
              <w:bottom w:val="single" w:sz="4" w:space="0" w:color="auto"/>
              <w:right w:val="single" w:sz="4" w:space="0" w:color="auto"/>
            </w:tcBorders>
            <w:shd w:val="pct25" w:color="auto" w:fill="C0C0C0"/>
          </w:tcPr>
          <w:p w:rsidR="00E9441C" w:rsidRDefault="00E9441C">
            <w:pPr>
              <w:spacing w:line="276" w:lineRule="auto"/>
              <w:rPr>
                <w:color w:val="FF0000"/>
                <w:szCs w:val="22"/>
              </w:rPr>
            </w:pPr>
          </w:p>
        </w:tc>
        <w:tc>
          <w:tcPr>
            <w:tcW w:w="8788" w:type="dxa"/>
            <w:tcBorders>
              <w:top w:val="single" w:sz="4" w:space="0" w:color="auto"/>
              <w:left w:val="single" w:sz="4" w:space="0" w:color="auto"/>
              <w:bottom w:val="single" w:sz="4" w:space="0" w:color="auto"/>
              <w:right w:val="single" w:sz="4" w:space="0" w:color="auto"/>
            </w:tcBorders>
            <w:shd w:val="pct25" w:color="auto" w:fill="C0C0C0"/>
          </w:tcPr>
          <w:p w:rsidR="00E9441C" w:rsidRDefault="00E9441C">
            <w:pPr>
              <w:spacing w:line="276" w:lineRule="auto"/>
              <w:rPr>
                <w:color w:val="FF0000"/>
                <w:szCs w:val="22"/>
              </w:rPr>
            </w:pPr>
          </w:p>
        </w:tc>
        <w:tc>
          <w:tcPr>
            <w:tcW w:w="992" w:type="dxa"/>
            <w:tcBorders>
              <w:top w:val="single" w:sz="4" w:space="0" w:color="auto"/>
              <w:left w:val="single" w:sz="4" w:space="0" w:color="auto"/>
              <w:bottom w:val="single" w:sz="4" w:space="0" w:color="auto"/>
              <w:right w:val="single" w:sz="4" w:space="0" w:color="auto"/>
            </w:tcBorders>
            <w:hideMark/>
          </w:tcPr>
          <w:p w:rsidR="00E9441C" w:rsidRDefault="00E9441C">
            <w:pPr>
              <w:spacing w:line="276" w:lineRule="auto"/>
              <w:jc w:val="center"/>
              <w:rPr>
                <w:b/>
                <w:color w:val="FF0000"/>
                <w:szCs w:val="22"/>
              </w:rPr>
            </w:pPr>
            <w:r>
              <w:rPr>
                <w:b/>
                <w:color w:val="FF0000"/>
                <w:szCs w:val="22"/>
              </w:rPr>
              <w:t>Low</w:t>
            </w:r>
          </w:p>
        </w:tc>
        <w:tc>
          <w:tcPr>
            <w:tcW w:w="993" w:type="dxa"/>
            <w:tcBorders>
              <w:top w:val="single" w:sz="4" w:space="0" w:color="auto"/>
              <w:left w:val="single" w:sz="4" w:space="0" w:color="auto"/>
              <w:bottom w:val="single" w:sz="4" w:space="0" w:color="auto"/>
              <w:right w:val="single" w:sz="4" w:space="0" w:color="auto"/>
            </w:tcBorders>
            <w:hideMark/>
          </w:tcPr>
          <w:p w:rsidR="00E9441C" w:rsidRDefault="00E9441C">
            <w:pPr>
              <w:spacing w:line="276" w:lineRule="auto"/>
              <w:jc w:val="center"/>
              <w:rPr>
                <w:b/>
                <w:color w:val="FF0000"/>
                <w:szCs w:val="22"/>
              </w:rPr>
            </w:pPr>
            <w:r>
              <w:rPr>
                <w:b/>
                <w:color w:val="FF0000"/>
                <w:szCs w:val="22"/>
              </w:rPr>
              <w:t>Med</w:t>
            </w:r>
          </w:p>
        </w:tc>
        <w:tc>
          <w:tcPr>
            <w:tcW w:w="850" w:type="dxa"/>
            <w:tcBorders>
              <w:top w:val="single" w:sz="4" w:space="0" w:color="auto"/>
              <w:left w:val="single" w:sz="4" w:space="0" w:color="auto"/>
              <w:bottom w:val="single" w:sz="4" w:space="0" w:color="auto"/>
              <w:right w:val="single" w:sz="4" w:space="0" w:color="auto"/>
            </w:tcBorders>
            <w:hideMark/>
          </w:tcPr>
          <w:p w:rsidR="00E9441C" w:rsidRDefault="00E9441C">
            <w:pPr>
              <w:spacing w:line="276" w:lineRule="auto"/>
              <w:jc w:val="center"/>
              <w:rPr>
                <w:b/>
                <w:color w:val="FF0000"/>
                <w:szCs w:val="22"/>
              </w:rPr>
            </w:pPr>
            <w:r>
              <w:rPr>
                <w:b/>
                <w:color w:val="FF0000"/>
                <w:szCs w:val="22"/>
              </w:rPr>
              <w:t>High</w:t>
            </w:r>
          </w:p>
        </w:tc>
      </w:tr>
      <w:tr w:rsidR="00E9441C" w:rsidTr="00E9441C">
        <w:trPr>
          <w:cantSplit/>
        </w:trPr>
        <w:tc>
          <w:tcPr>
            <w:tcW w:w="2802" w:type="dxa"/>
            <w:tcBorders>
              <w:top w:val="single" w:sz="4" w:space="0" w:color="auto"/>
              <w:left w:val="single" w:sz="4" w:space="0" w:color="auto"/>
              <w:bottom w:val="single" w:sz="4" w:space="0" w:color="auto"/>
              <w:right w:val="single" w:sz="4" w:space="0" w:color="auto"/>
            </w:tcBorders>
            <w:hideMark/>
          </w:tcPr>
          <w:p w:rsidR="00E9441C" w:rsidRDefault="00E9441C">
            <w:pPr>
              <w:autoSpaceDE w:val="0"/>
              <w:autoSpaceDN w:val="0"/>
              <w:adjustRightInd w:val="0"/>
              <w:spacing w:line="276" w:lineRule="auto"/>
              <w:rPr>
                <w:rFonts w:eastAsia="Calibri" w:cs="Arial"/>
                <w:szCs w:val="22"/>
              </w:rPr>
            </w:pPr>
            <w:r>
              <w:rPr>
                <w:rFonts w:eastAsia="Calibri" w:cs="Arial"/>
                <w:szCs w:val="22"/>
              </w:rPr>
              <w:t xml:space="preserve">Forestry Operations: injury caused by heavy plant and timber loading at North </w:t>
            </w:r>
            <w:proofErr w:type="spellStart"/>
            <w:r>
              <w:rPr>
                <w:rFonts w:eastAsia="Calibri" w:cs="Arial"/>
                <w:szCs w:val="22"/>
              </w:rPr>
              <w:t>Sannox</w:t>
            </w:r>
            <w:proofErr w:type="spellEnd"/>
            <w:r>
              <w:rPr>
                <w:rFonts w:eastAsia="Calibri" w:cs="Arial"/>
                <w:szCs w:val="22"/>
              </w:rPr>
              <w:t xml:space="preserve"> shore.</w:t>
            </w:r>
          </w:p>
        </w:tc>
        <w:tc>
          <w:tcPr>
            <w:tcW w:w="8788" w:type="dxa"/>
            <w:tcBorders>
              <w:top w:val="single" w:sz="4" w:space="0" w:color="auto"/>
              <w:left w:val="single" w:sz="4" w:space="0" w:color="auto"/>
              <w:bottom w:val="single" w:sz="4" w:space="0" w:color="auto"/>
              <w:right w:val="single" w:sz="4" w:space="0" w:color="auto"/>
            </w:tcBorders>
            <w:hideMark/>
          </w:tcPr>
          <w:p w:rsidR="00E9441C" w:rsidRDefault="00E9441C">
            <w:pPr>
              <w:pStyle w:val="Header"/>
              <w:tabs>
                <w:tab w:val="left" w:pos="720"/>
              </w:tabs>
              <w:spacing w:line="276" w:lineRule="auto"/>
              <w:rPr>
                <w:rFonts w:eastAsia="Calibri" w:cs="Arial"/>
                <w:szCs w:val="22"/>
              </w:rPr>
            </w:pPr>
            <w:r>
              <w:rPr>
                <w:rFonts w:eastAsia="Calibri" w:cs="Arial"/>
                <w:szCs w:val="22"/>
              </w:rPr>
              <w:t xml:space="preserve">Avoid heavy vehicles and stick to marked paths so as to avoid heavy plant which might be operating. By 2018 the majority of timber has been removed from site and this is </w:t>
            </w:r>
            <w:proofErr w:type="spellStart"/>
            <w:proofErr w:type="gramStart"/>
            <w:r>
              <w:rPr>
                <w:rFonts w:eastAsia="Calibri" w:cs="Arial"/>
                <w:szCs w:val="22"/>
              </w:rPr>
              <w:t>know</w:t>
            </w:r>
            <w:proofErr w:type="spellEnd"/>
            <w:proofErr w:type="gramEnd"/>
            <w:r>
              <w:rPr>
                <w:rFonts w:eastAsia="Calibri" w:cs="Arial"/>
                <w:szCs w:val="22"/>
              </w:rPr>
              <w:t xml:space="preserve"> longer such an active site. </w:t>
            </w:r>
          </w:p>
        </w:tc>
        <w:tc>
          <w:tcPr>
            <w:tcW w:w="992" w:type="dxa"/>
            <w:tcBorders>
              <w:top w:val="single" w:sz="4" w:space="0" w:color="auto"/>
              <w:left w:val="single" w:sz="4" w:space="0" w:color="auto"/>
              <w:bottom w:val="single" w:sz="4" w:space="0" w:color="auto"/>
              <w:right w:val="single" w:sz="4" w:space="0" w:color="auto"/>
            </w:tcBorders>
          </w:tcPr>
          <w:p w:rsidR="00E9441C" w:rsidRDefault="00E9441C">
            <w:pPr>
              <w:autoSpaceDE w:val="0"/>
              <w:autoSpaceDN w:val="0"/>
              <w:adjustRightInd w:val="0"/>
              <w:spacing w:line="276" w:lineRule="auto"/>
              <w:rPr>
                <w:rFonts w:eastAsia="Calibri" w:cs="Arial"/>
                <w:szCs w:val="22"/>
              </w:rPr>
            </w:pPr>
          </w:p>
        </w:tc>
        <w:tc>
          <w:tcPr>
            <w:tcW w:w="993" w:type="dxa"/>
            <w:tcBorders>
              <w:top w:val="single" w:sz="4" w:space="0" w:color="auto"/>
              <w:left w:val="single" w:sz="4" w:space="0" w:color="auto"/>
              <w:bottom w:val="single" w:sz="4" w:space="0" w:color="auto"/>
              <w:right w:val="single" w:sz="4" w:space="0" w:color="auto"/>
            </w:tcBorders>
          </w:tcPr>
          <w:p w:rsidR="00E9441C" w:rsidRDefault="00E9441C">
            <w:pPr>
              <w:spacing w:line="276" w:lineRule="auto"/>
              <w:rPr>
                <w:color w:val="FF0000"/>
                <w:szCs w:val="22"/>
              </w:rPr>
            </w:pPr>
          </w:p>
          <w:p w:rsidR="00E9441C" w:rsidRDefault="00E9441C">
            <w:pPr>
              <w:spacing w:line="276" w:lineRule="auto"/>
              <w:rPr>
                <w:szCs w:val="22"/>
              </w:rPr>
            </w:pPr>
            <w:r>
              <w:rPr>
                <w:szCs w:val="22"/>
              </w:rPr>
              <w:t>4x2 = 8</w:t>
            </w:r>
          </w:p>
        </w:tc>
        <w:tc>
          <w:tcPr>
            <w:tcW w:w="850" w:type="dxa"/>
            <w:tcBorders>
              <w:top w:val="single" w:sz="4" w:space="0" w:color="auto"/>
              <w:left w:val="single" w:sz="4" w:space="0" w:color="auto"/>
              <w:bottom w:val="single" w:sz="4" w:space="0" w:color="auto"/>
              <w:right w:val="single" w:sz="4" w:space="0" w:color="auto"/>
            </w:tcBorders>
          </w:tcPr>
          <w:p w:rsidR="00E9441C" w:rsidRDefault="00E9441C">
            <w:pPr>
              <w:spacing w:line="276" w:lineRule="auto"/>
              <w:rPr>
                <w:color w:val="FF0000"/>
                <w:sz w:val="21"/>
              </w:rPr>
            </w:pPr>
          </w:p>
        </w:tc>
      </w:tr>
      <w:tr w:rsidR="00E9441C" w:rsidTr="00E9441C">
        <w:trPr>
          <w:cantSplit/>
        </w:trPr>
        <w:tc>
          <w:tcPr>
            <w:tcW w:w="2802" w:type="dxa"/>
            <w:tcBorders>
              <w:top w:val="single" w:sz="4" w:space="0" w:color="auto"/>
              <w:left w:val="single" w:sz="4" w:space="0" w:color="auto"/>
              <w:bottom w:val="single" w:sz="4" w:space="0" w:color="auto"/>
              <w:right w:val="single" w:sz="4" w:space="0" w:color="auto"/>
            </w:tcBorders>
            <w:hideMark/>
          </w:tcPr>
          <w:p w:rsidR="00E9441C" w:rsidRDefault="00E9441C">
            <w:pPr>
              <w:spacing w:line="276" w:lineRule="auto"/>
            </w:pPr>
            <w:r>
              <w:t>Injury or illness caused by submersion or ingestion of river/sea water.</w:t>
            </w:r>
          </w:p>
        </w:tc>
        <w:tc>
          <w:tcPr>
            <w:tcW w:w="8788" w:type="dxa"/>
            <w:tcBorders>
              <w:top w:val="single" w:sz="4" w:space="0" w:color="auto"/>
              <w:left w:val="single" w:sz="4" w:space="0" w:color="auto"/>
              <w:bottom w:val="single" w:sz="4" w:space="0" w:color="auto"/>
              <w:right w:val="single" w:sz="4" w:space="0" w:color="auto"/>
            </w:tcBorders>
          </w:tcPr>
          <w:p w:rsidR="00E9441C" w:rsidRDefault="00E9441C">
            <w:pPr>
              <w:spacing w:line="276" w:lineRule="auto"/>
            </w:pPr>
            <w:r>
              <w:t>Avoid hazard where possible. Tutor to brief group prior to approaching hazard. Tutor to be vigilant at all times and positioned between the group and the hazard. Guests are briefed not to drink water from the river.</w:t>
            </w:r>
          </w:p>
          <w:p w:rsidR="00E9441C" w:rsidRDefault="00E9441C">
            <w:pPr>
              <w:spacing w:line="276" w:lineRule="auto"/>
            </w:pPr>
          </w:p>
        </w:tc>
        <w:tc>
          <w:tcPr>
            <w:tcW w:w="992" w:type="dxa"/>
            <w:tcBorders>
              <w:top w:val="single" w:sz="4" w:space="0" w:color="auto"/>
              <w:left w:val="single" w:sz="4" w:space="0" w:color="auto"/>
              <w:bottom w:val="single" w:sz="4" w:space="0" w:color="auto"/>
              <w:right w:val="single" w:sz="4" w:space="0" w:color="auto"/>
            </w:tcBorders>
          </w:tcPr>
          <w:p w:rsidR="00E9441C" w:rsidRDefault="00E9441C">
            <w:pPr>
              <w:spacing w:line="276" w:lineRule="auto"/>
            </w:pPr>
          </w:p>
          <w:p w:rsidR="00E9441C" w:rsidRDefault="00E9441C">
            <w:pPr>
              <w:spacing w:line="276" w:lineRule="auto"/>
              <w:rPr>
                <w:sz w:val="21"/>
              </w:rPr>
            </w:pPr>
            <w:r>
              <w:t>3x2 = 6</w:t>
            </w:r>
          </w:p>
        </w:tc>
        <w:tc>
          <w:tcPr>
            <w:tcW w:w="993" w:type="dxa"/>
            <w:tcBorders>
              <w:top w:val="single" w:sz="4" w:space="0" w:color="auto"/>
              <w:left w:val="single" w:sz="4" w:space="0" w:color="auto"/>
              <w:bottom w:val="single" w:sz="4" w:space="0" w:color="auto"/>
              <w:right w:val="single" w:sz="4" w:space="0" w:color="auto"/>
            </w:tcBorders>
          </w:tcPr>
          <w:p w:rsidR="00E9441C" w:rsidRDefault="00E9441C">
            <w:pPr>
              <w:spacing w:line="276" w:lineRule="auto"/>
              <w:rPr>
                <w:color w:val="FF0000"/>
                <w:sz w:val="21"/>
              </w:rPr>
            </w:pPr>
          </w:p>
        </w:tc>
        <w:tc>
          <w:tcPr>
            <w:tcW w:w="850" w:type="dxa"/>
            <w:tcBorders>
              <w:top w:val="single" w:sz="4" w:space="0" w:color="auto"/>
              <w:left w:val="single" w:sz="4" w:space="0" w:color="auto"/>
              <w:bottom w:val="single" w:sz="4" w:space="0" w:color="auto"/>
              <w:right w:val="single" w:sz="4" w:space="0" w:color="auto"/>
            </w:tcBorders>
          </w:tcPr>
          <w:p w:rsidR="00E9441C" w:rsidRDefault="00E9441C">
            <w:pPr>
              <w:spacing w:line="276" w:lineRule="auto"/>
              <w:rPr>
                <w:color w:val="FF0000"/>
                <w:sz w:val="21"/>
              </w:rPr>
            </w:pPr>
          </w:p>
        </w:tc>
      </w:tr>
      <w:tr w:rsidR="00E9441C" w:rsidTr="00E9441C">
        <w:trPr>
          <w:cantSplit/>
        </w:trPr>
        <w:tc>
          <w:tcPr>
            <w:tcW w:w="2802" w:type="dxa"/>
            <w:tcBorders>
              <w:top w:val="single" w:sz="4" w:space="0" w:color="auto"/>
              <w:left w:val="single" w:sz="4" w:space="0" w:color="auto"/>
              <w:bottom w:val="single" w:sz="4" w:space="0" w:color="auto"/>
              <w:right w:val="single" w:sz="4" w:space="0" w:color="auto"/>
            </w:tcBorders>
            <w:hideMark/>
          </w:tcPr>
          <w:p w:rsidR="00E9441C" w:rsidRDefault="00E9441C">
            <w:pPr>
              <w:spacing w:line="276" w:lineRule="auto"/>
            </w:pPr>
            <w:r>
              <w:t>Drowning or being swept into the sea by High Tides and Waves.</w:t>
            </w:r>
          </w:p>
        </w:tc>
        <w:tc>
          <w:tcPr>
            <w:tcW w:w="8788" w:type="dxa"/>
            <w:tcBorders>
              <w:top w:val="single" w:sz="4" w:space="0" w:color="auto"/>
              <w:left w:val="single" w:sz="4" w:space="0" w:color="auto"/>
              <w:bottom w:val="single" w:sz="4" w:space="0" w:color="auto"/>
              <w:right w:val="single" w:sz="4" w:space="0" w:color="auto"/>
            </w:tcBorders>
          </w:tcPr>
          <w:p w:rsidR="00E9441C" w:rsidRDefault="00E9441C">
            <w:pPr>
              <w:spacing w:line="276" w:lineRule="auto"/>
            </w:pPr>
            <w:r>
              <w:t>Students briefed on the hazards. Tutor carries a throw line and is the person closest to the sea. Wave and tide conditions to be monitored by tutor during the session and group proximity to the sea to be appropriate to sea state.</w:t>
            </w:r>
          </w:p>
          <w:p w:rsidR="00E9441C" w:rsidRDefault="00E9441C">
            <w:pPr>
              <w:spacing w:line="276" w:lineRule="auto"/>
            </w:pPr>
          </w:p>
        </w:tc>
        <w:tc>
          <w:tcPr>
            <w:tcW w:w="992" w:type="dxa"/>
            <w:tcBorders>
              <w:top w:val="single" w:sz="4" w:space="0" w:color="auto"/>
              <w:left w:val="single" w:sz="4" w:space="0" w:color="auto"/>
              <w:bottom w:val="single" w:sz="4" w:space="0" w:color="auto"/>
              <w:right w:val="single" w:sz="4" w:space="0" w:color="auto"/>
            </w:tcBorders>
          </w:tcPr>
          <w:p w:rsidR="00E9441C" w:rsidRDefault="00E9441C">
            <w:pPr>
              <w:spacing w:line="276" w:lineRule="auto"/>
            </w:pPr>
          </w:p>
          <w:p w:rsidR="00E9441C" w:rsidRDefault="00E9441C">
            <w:pPr>
              <w:spacing w:line="276" w:lineRule="auto"/>
              <w:rPr>
                <w:sz w:val="21"/>
              </w:rPr>
            </w:pPr>
            <w:r>
              <w:t>4x1 = 4</w:t>
            </w:r>
          </w:p>
        </w:tc>
        <w:tc>
          <w:tcPr>
            <w:tcW w:w="993" w:type="dxa"/>
            <w:tcBorders>
              <w:top w:val="single" w:sz="4" w:space="0" w:color="auto"/>
              <w:left w:val="single" w:sz="4" w:space="0" w:color="auto"/>
              <w:bottom w:val="single" w:sz="4" w:space="0" w:color="auto"/>
              <w:right w:val="single" w:sz="4" w:space="0" w:color="auto"/>
            </w:tcBorders>
          </w:tcPr>
          <w:p w:rsidR="00E9441C" w:rsidRDefault="00E9441C">
            <w:pPr>
              <w:spacing w:line="276" w:lineRule="auto"/>
              <w:rPr>
                <w:color w:val="FF0000"/>
                <w:sz w:val="21"/>
              </w:rPr>
            </w:pPr>
          </w:p>
        </w:tc>
        <w:tc>
          <w:tcPr>
            <w:tcW w:w="850" w:type="dxa"/>
            <w:tcBorders>
              <w:top w:val="single" w:sz="4" w:space="0" w:color="auto"/>
              <w:left w:val="single" w:sz="4" w:space="0" w:color="auto"/>
              <w:bottom w:val="single" w:sz="4" w:space="0" w:color="auto"/>
              <w:right w:val="single" w:sz="4" w:space="0" w:color="auto"/>
            </w:tcBorders>
          </w:tcPr>
          <w:p w:rsidR="00E9441C" w:rsidRDefault="00E9441C">
            <w:pPr>
              <w:spacing w:line="276" w:lineRule="auto"/>
              <w:rPr>
                <w:color w:val="FF0000"/>
                <w:sz w:val="21"/>
              </w:rPr>
            </w:pPr>
          </w:p>
        </w:tc>
      </w:tr>
      <w:tr w:rsidR="00E9441C" w:rsidTr="00E9441C">
        <w:trPr>
          <w:cantSplit/>
        </w:trPr>
        <w:tc>
          <w:tcPr>
            <w:tcW w:w="2802" w:type="dxa"/>
            <w:tcBorders>
              <w:top w:val="single" w:sz="4" w:space="0" w:color="auto"/>
              <w:left w:val="single" w:sz="4" w:space="0" w:color="auto"/>
              <w:bottom w:val="single" w:sz="4" w:space="0" w:color="auto"/>
              <w:right w:val="single" w:sz="4" w:space="0" w:color="auto"/>
            </w:tcBorders>
            <w:hideMark/>
          </w:tcPr>
          <w:p w:rsidR="00E9441C" w:rsidRDefault="00E9441C">
            <w:pPr>
              <w:spacing w:line="276" w:lineRule="auto"/>
            </w:pPr>
            <w:r>
              <w:t>Hypothermia caused by exposure to wet or windy conditions at coast.</w:t>
            </w:r>
          </w:p>
        </w:tc>
        <w:tc>
          <w:tcPr>
            <w:tcW w:w="8788" w:type="dxa"/>
            <w:tcBorders>
              <w:top w:val="single" w:sz="4" w:space="0" w:color="auto"/>
              <w:left w:val="single" w:sz="4" w:space="0" w:color="auto"/>
              <w:bottom w:val="single" w:sz="4" w:space="0" w:color="auto"/>
              <w:right w:val="single" w:sz="4" w:space="0" w:color="auto"/>
            </w:tcBorders>
          </w:tcPr>
          <w:p w:rsidR="00E9441C" w:rsidRDefault="00E9441C">
            <w:pPr>
              <w:spacing w:line="276" w:lineRule="auto"/>
            </w:pPr>
            <w:r>
              <w:t>Group to carry an emergency shelter and sleeping bag in accordance with the SSOP. When working at the Controlled Assessment locations tutor carries a flask with hot drink and monitors the condition of the group members.</w:t>
            </w:r>
          </w:p>
          <w:p w:rsidR="00E9441C" w:rsidRDefault="00E9441C">
            <w:pPr>
              <w:spacing w:line="276" w:lineRule="auto"/>
            </w:pPr>
          </w:p>
        </w:tc>
        <w:tc>
          <w:tcPr>
            <w:tcW w:w="992" w:type="dxa"/>
            <w:tcBorders>
              <w:top w:val="single" w:sz="4" w:space="0" w:color="auto"/>
              <w:left w:val="single" w:sz="4" w:space="0" w:color="auto"/>
              <w:bottom w:val="single" w:sz="4" w:space="0" w:color="auto"/>
              <w:right w:val="single" w:sz="4" w:space="0" w:color="auto"/>
            </w:tcBorders>
          </w:tcPr>
          <w:p w:rsidR="00E9441C" w:rsidRDefault="00E9441C">
            <w:pPr>
              <w:spacing w:line="276" w:lineRule="auto"/>
            </w:pPr>
          </w:p>
          <w:p w:rsidR="00E9441C" w:rsidRDefault="00E9441C">
            <w:pPr>
              <w:spacing w:line="276" w:lineRule="auto"/>
              <w:rPr>
                <w:sz w:val="21"/>
              </w:rPr>
            </w:pPr>
            <w:r>
              <w:t>3x2 = 6</w:t>
            </w:r>
          </w:p>
        </w:tc>
        <w:tc>
          <w:tcPr>
            <w:tcW w:w="993" w:type="dxa"/>
            <w:tcBorders>
              <w:top w:val="single" w:sz="4" w:space="0" w:color="auto"/>
              <w:left w:val="single" w:sz="4" w:space="0" w:color="auto"/>
              <w:bottom w:val="single" w:sz="4" w:space="0" w:color="auto"/>
              <w:right w:val="single" w:sz="4" w:space="0" w:color="auto"/>
            </w:tcBorders>
          </w:tcPr>
          <w:p w:rsidR="00E9441C" w:rsidRDefault="00E9441C">
            <w:pPr>
              <w:spacing w:line="276" w:lineRule="auto"/>
              <w:rPr>
                <w:color w:val="FF0000"/>
                <w:sz w:val="21"/>
              </w:rPr>
            </w:pPr>
          </w:p>
        </w:tc>
        <w:tc>
          <w:tcPr>
            <w:tcW w:w="850" w:type="dxa"/>
            <w:tcBorders>
              <w:top w:val="single" w:sz="4" w:space="0" w:color="auto"/>
              <w:left w:val="single" w:sz="4" w:space="0" w:color="auto"/>
              <w:bottom w:val="single" w:sz="4" w:space="0" w:color="auto"/>
              <w:right w:val="single" w:sz="4" w:space="0" w:color="auto"/>
            </w:tcBorders>
          </w:tcPr>
          <w:p w:rsidR="00E9441C" w:rsidRDefault="00E9441C">
            <w:pPr>
              <w:spacing w:line="276" w:lineRule="auto"/>
              <w:rPr>
                <w:color w:val="FF0000"/>
                <w:sz w:val="21"/>
              </w:rPr>
            </w:pPr>
          </w:p>
        </w:tc>
      </w:tr>
      <w:tr w:rsidR="00E9441C" w:rsidTr="00E9441C">
        <w:trPr>
          <w:cantSplit/>
        </w:trPr>
        <w:tc>
          <w:tcPr>
            <w:tcW w:w="2802" w:type="dxa"/>
            <w:tcBorders>
              <w:top w:val="single" w:sz="4" w:space="0" w:color="auto"/>
              <w:left w:val="single" w:sz="4" w:space="0" w:color="auto"/>
              <w:bottom w:val="single" w:sz="4" w:space="0" w:color="auto"/>
              <w:right w:val="single" w:sz="4" w:space="0" w:color="auto"/>
            </w:tcBorders>
            <w:hideMark/>
          </w:tcPr>
          <w:p w:rsidR="00E9441C" w:rsidRDefault="00E9441C">
            <w:pPr>
              <w:spacing w:line="276" w:lineRule="auto"/>
            </w:pPr>
            <w:r>
              <w:t>Injury caused by Slips, trips and falls in moving water.</w:t>
            </w:r>
          </w:p>
        </w:tc>
        <w:tc>
          <w:tcPr>
            <w:tcW w:w="8788" w:type="dxa"/>
            <w:tcBorders>
              <w:top w:val="single" w:sz="4" w:space="0" w:color="auto"/>
              <w:left w:val="single" w:sz="4" w:space="0" w:color="auto"/>
              <w:bottom w:val="single" w:sz="4" w:space="0" w:color="auto"/>
              <w:right w:val="single" w:sz="4" w:space="0" w:color="auto"/>
            </w:tcBorders>
          </w:tcPr>
          <w:p w:rsidR="00E9441C" w:rsidRDefault="00E9441C">
            <w:pPr>
              <w:spacing w:line="276" w:lineRule="auto"/>
            </w:pPr>
            <w:r>
              <w:t xml:space="preserve">Participants to be briefed on underfoot conditions in the streambed, strong currents, and safest areas to work in when in the </w:t>
            </w:r>
            <w:proofErr w:type="spellStart"/>
            <w:r>
              <w:t>Abhainn</w:t>
            </w:r>
            <w:proofErr w:type="spellEnd"/>
            <w:r>
              <w:t xml:space="preserve"> </w:t>
            </w:r>
            <w:proofErr w:type="spellStart"/>
            <w:r>
              <w:t>Tunna</w:t>
            </w:r>
            <w:proofErr w:type="spellEnd"/>
            <w:r>
              <w:t xml:space="preserve">. Tutor to be to be vigilant at all times and group may only examine granite contact in the </w:t>
            </w:r>
            <w:proofErr w:type="spellStart"/>
            <w:r>
              <w:t>Abhainn</w:t>
            </w:r>
            <w:proofErr w:type="spellEnd"/>
            <w:r>
              <w:t xml:space="preserve"> </w:t>
            </w:r>
            <w:proofErr w:type="spellStart"/>
            <w:r>
              <w:t>Tunna</w:t>
            </w:r>
            <w:proofErr w:type="spellEnd"/>
            <w:r>
              <w:t xml:space="preserve"> at low stage.</w:t>
            </w:r>
          </w:p>
          <w:p w:rsidR="00E9441C" w:rsidRDefault="00E9441C">
            <w:pPr>
              <w:spacing w:line="276" w:lineRule="auto"/>
            </w:pPr>
          </w:p>
        </w:tc>
        <w:tc>
          <w:tcPr>
            <w:tcW w:w="992" w:type="dxa"/>
            <w:tcBorders>
              <w:top w:val="single" w:sz="4" w:space="0" w:color="auto"/>
              <w:left w:val="single" w:sz="4" w:space="0" w:color="auto"/>
              <w:bottom w:val="single" w:sz="4" w:space="0" w:color="auto"/>
              <w:right w:val="single" w:sz="4" w:space="0" w:color="auto"/>
            </w:tcBorders>
            <w:hideMark/>
          </w:tcPr>
          <w:p w:rsidR="00E9441C" w:rsidRDefault="00E9441C">
            <w:pPr>
              <w:spacing w:line="276" w:lineRule="auto"/>
              <w:rPr>
                <w:sz w:val="21"/>
              </w:rPr>
            </w:pPr>
            <w:r>
              <w:t>2x3 = 6</w:t>
            </w:r>
          </w:p>
        </w:tc>
        <w:tc>
          <w:tcPr>
            <w:tcW w:w="993" w:type="dxa"/>
            <w:tcBorders>
              <w:top w:val="single" w:sz="4" w:space="0" w:color="auto"/>
              <w:left w:val="single" w:sz="4" w:space="0" w:color="auto"/>
              <w:bottom w:val="single" w:sz="4" w:space="0" w:color="auto"/>
              <w:right w:val="single" w:sz="4" w:space="0" w:color="auto"/>
            </w:tcBorders>
          </w:tcPr>
          <w:p w:rsidR="00E9441C" w:rsidRDefault="00E9441C">
            <w:pPr>
              <w:spacing w:line="276" w:lineRule="auto"/>
              <w:rPr>
                <w:color w:val="FF0000"/>
                <w:sz w:val="21"/>
              </w:rPr>
            </w:pPr>
          </w:p>
        </w:tc>
        <w:tc>
          <w:tcPr>
            <w:tcW w:w="850" w:type="dxa"/>
            <w:tcBorders>
              <w:top w:val="single" w:sz="4" w:space="0" w:color="auto"/>
              <w:left w:val="single" w:sz="4" w:space="0" w:color="auto"/>
              <w:bottom w:val="single" w:sz="4" w:space="0" w:color="auto"/>
              <w:right w:val="single" w:sz="4" w:space="0" w:color="auto"/>
            </w:tcBorders>
          </w:tcPr>
          <w:p w:rsidR="00E9441C" w:rsidRDefault="00E9441C">
            <w:pPr>
              <w:spacing w:line="276" w:lineRule="auto"/>
              <w:rPr>
                <w:color w:val="FF0000"/>
                <w:sz w:val="21"/>
              </w:rPr>
            </w:pPr>
          </w:p>
        </w:tc>
      </w:tr>
      <w:tr w:rsidR="00E9441C" w:rsidTr="00E9441C">
        <w:trPr>
          <w:cantSplit/>
        </w:trPr>
        <w:tc>
          <w:tcPr>
            <w:tcW w:w="2802" w:type="dxa"/>
            <w:tcBorders>
              <w:top w:val="single" w:sz="4" w:space="0" w:color="auto"/>
              <w:left w:val="single" w:sz="4" w:space="0" w:color="auto"/>
              <w:bottom w:val="single" w:sz="4" w:space="0" w:color="auto"/>
              <w:right w:val="single" w:sz="4" w:space="0" w:color="auto"/>
            </w:tcBorders>
            <w:hideMark/>
          </w:tcPr>
          <w:p w:rsidR="00E9441C" w:rsidRDefault="00E9441C">
            <w:pPr>
              <w:spacing w:line="276" w:lineRule="auto"/>
            </w:pPr>
            <w:r>
              <w:lastRenderedPageBreak/>
              <w:t>Injury caused by the use of Geological Hammers or Acid Bottles.</w:t>
            </w:r>
          </w:p>
        </w:tc>
        <w:tc>
          <w:tcPr>
            <w:tcW w:w="8788" w:type="dxa"/>
            <w:tcBorders>
              <w:top w:val="single" w:sz="4" w:space="0" w:color="auto"/>
              <w:left w:val="single" w:sz="4" w:space="0" w:color="auto"/>
              <w:bottom w:val="single" w:sz="4" w:space="0" w:color="auto"/>
              <w:right w:val="single" w:sz="4" w:space="0" w:color="auto"/>
            </w:tcBorders>
            <w:hideMark/>
          </w:tcPr>
          <w:p w:rsidR="00E9441C" w:rsidRDefault="00E9441C">
            <w:pPr>
              <w:spacing w:line="276" w:lineRule="auto"/>
            </w:pPr>
            <w:r>
              <w:t>Geological hammers are not to be used in the field. When Acid Bottles are required they will be carried by the tutors or visiting staff at all times. Tutors and visiting staff will closely supervise their use by students. Acid bottles must be returned to chemical store.</w:t>
            </w:r>
          </w:p>
        </w:tc>
        <w:tc>
          <w:tcPr>
            <w:tcW w:w="992" w:type="dxa"/>
            <w:tcBorders>
              <w:top w:val="single" w:sz="4" w:space="0" w:color="auto"/>
              <w:left w:val="single" w:sz="4" w:space="0" w:color="auto"/>
              <w:bottom w:val="single" w:sz="4" w:space="0" w:color="auto"/>
              <w:right w:val="single" w:sz="4" w:space="0" w:color="auto"/>
            </w:tcBorders>
          </w:tcPr>
          <w:p w:rsidR="00E9441C" w:rsidRDefault="00E9441C">
            <w:pPr>
              <w:spacing w:line="276" w:lineRule="auto"/>
            </w:pPr>
          </w:p>
          <w:p w:rsidR="00E9441C" w:rsidRDefault="00E9441C">
            <w:pPr>
              <w:spacing w:line="276" w:lineRule="auto"/>
              <w:rPr>
                <w:sz w:val="21"/>
              </w:rPr>
            </w:pPr>
            <w:r>
              <w:t>2x1 = 2</w:t>
            </w:r>
          </w:p>
        </w:tc>
        <w:tc>
          <w:tcPr>
            <w:tcW w:w="993" w:type="dxa"/>
            <w:tcBorders>
              <w:top w:val="single" w:sz="4" w:space="0" w:color="auto"/>
              <w:left w:val="single" w:sz="4" w:space="0" w:color="auto"/>
              <w:bottom w:val="single" w:sz="4" w:space="0" w:color="auto"/>
              <w:right w:val="single" w:sz="4" w:space="0" w:color="auto"/>
            </w:tcBorders>
          </w:tcPr>
          <w:p w:rsidR="00E9441C" w:rsidRDefault="00E9441C">
            <w:pPr>
              <w:spacing w:line="276" w:lineRule="auto"/>
              <w:rPr>
                <w:color w:val="FF0000"/>
                <w:sz w:val="21"/>
              </w:rPr>
            </w:pPr>
          </w:p>
        </w:tc>
        <w:tc>
          <w:tcPr>
            <w:tcW w:w="850" w:type="dxa"/>
            <w:tcBorders>
              <w:top w:val="single" w:sz="4" w:space="0" w:color="auto"/>
              <w:left w:val="single" w:sz="4" w:space="0" w:color="auto"/>
              <w:bottom w:val="single" w:sz="4" w:space="0" w:color="auto"/>
              <w:right w:val="single" w:sz="4" w:space="0" w:color="auto"/>
            </w:tcBorders>
          </w:tcPr>
          <w:p w:rsidR="00E9441C" w:rsidRDefault="00E9441C">
            <w:pPr>
              <w:spacing w:line="276" w:lineRule="auto"/>
              <w:rPr>
                <w:color w:val="FF0000"/>
                <w:sz w:val="21"/>
              </w:rPr>
            </w:pPr>
          </w:p>
        </w:tc>
      </w:tr>
      <w:tr w:rsidR="00E9441C" w:rsidTr="00E9441C">
        <w:trPr>
          <w:cantSplit/>
        </w:trPr>
        <w:tc>
          <w:tcPr>
            <w:tcW w:w="2802" w:type="dxa"/>
            <w:tcBorders>
              <w:top w:val="single" w:sz="4" w:space="0" w:color="auto"/>
              <w:left w:val="single" w:sz="4" w:space="0" w:color="auto"/>
              <w:bottom w:val="single" w:sz="4" w:space="0" w:color="auto"/>
              <w:right w:val="single" w:sz="4" w:space="0" w:color="auto"/>
            </w:tcBorders>
            <w:hideMark/>
          </w:tcPr>
          <w:p w:rsidR="00E9441C" w:rsidRDefault="00E9441C">
            <w:pPr>
              <w:spacing w:line="276" w:lineRule="auto"/>
            </w:pPr>
            <w:r>
              <w:t>Contact with wild / domestic animals: injury or illness caused by dogs or horses</w:t>
            </w:r>
          </w:p>
        </w:tc>
        <w:tc>
          <w:tcPr>
            <w:tcW w:w="8788" w:type="dxa"/>
            <w:tcBorders>
              <w:top w:val="single" w:sz="4" w:space="0" w:color="auto"/>
              <w:left w:val="single" w:sz="4" w:space="0" w:color="auto"/>
              <w:bottom w:val="single" w:sz="4" w:space="0" w:color="auto"/>
              <w:right w:val="single" w:sz="4" w:space="0" w:color="auto"/>
            </w:tcBorders>
            <w:hideMark/>
          </w:tcPr>
          <w:p w:rsidR="00E9441C" w:rsidRDefault="00E9441C">
            <w:pPr>
              <w:spacing w:line="276" w:lineRule="auto"/>
            </w:pPr>
            <w:r>
              <w:t xml:space="preserve">North Glen </w:t>
            </w:r>
            <w:proofErr w:type="spellStart"/>
            <w:r>
              <w:t>Sannox</w:t>
            </w:r>
            <w:proofErr w:type="spellEnd"/>
            <w:r>
              <w:t xml:space="preserve"> is very popular with dog walkers and pony trekkers. Instructor at the front and a designated adult at the rear of the group. Group to behave in a calm manner. Instructor to remain vigilant at all times. Adders can also be present in warmer months</w:t>
            </w:r>
          </w:p>
        </w:tc>
        <w:tc>
          <w:tcPr>
            <w:tcW w:w="992" w:type="dxa"/>
            <w:tcBorders>
              <w:top w:val="single" w:sz="4" w:space="0" w:color="auto"/>
              <w:left w:val="single" w:sz="4" w:space="0" w:color="auto"/>
              <w:bottom w:val="single" w:sz="4" w:space="0" w:color="auto"/>
              <w:right w:val="single" w:sz="4" w:space="0" w:color="auto"/>
            </w:tcBorders>
          </w:tcPr>
          <w:p w:rsidR="00E9441C" w:rsidRDefault="00E9441C">
            <w:pPr>
              <w:spacing w:line="276" w:lineRule="auto"/>
            </w:pPr>
          </w:p>
          <w:p w:rsidR="00E9441C" w:rsidRDefault="00E9441C">
            <w:pPr>
              <w:spacing w:line="276" w:lineRule="auto"/>
            </w:pPr>
            <w:r>
              <w:t>3x2 = 6</w:t>
            </w:r>
          </w:p>
        </w:tc>
        <w:tc>
          <w:tcPr>
            <w:tcW w:w="993" w:type="dxa"/>
            <w:tcBorders>
              <w:top w:val="single" w:sz="4" w:space="0" w:color="auto"/>
              <w:left w:val="single" w:sz="4" w:space="0" w:color="auto"/>
              <w:bottom w:val="single" w:sz="4" w:space="0" w:color="auto"/>
              <w:right w:val="single" w:sz="4" w:space="0" w:color="auto"/>
            </w:tcBorders>
          </w:tcPr>
          <w:p w:rsidR="00E9441C" w:rsidRDefault="00E9441C">
            <w:pPr>
              <w:spacing w:line="276" w:lineRule="auto"/>
              <w:rPr>
                <w:color w:val="FF0000"/>
                <w:sz w:val="21"/>
              </w:rPr>
            </w:pPr>
          </w:p>
        </w:tc>
        <w:tc>
          <w:tcPr>
            <w:tcW w:w="850" w:type="dxa"/>
            <w:tcBorders>
              <w:top w:val="single" w:sz="4" w:space="0" w:color="auto"/>
              <w:left w:val="single" w:sz="4" w:space="0" w:color="auto"/>
              <w:bottom w:val="single" w:sz="4" w:space="0" w:color="auto"/>
              <w:right w:val="single" w:sz="4" w:space="0" w:color="auto"/>
            </w:tcBorders>
          </w:tcPr>
          <w:p w:rsidR="00E9441C" w:rsidRDefault="00E9441C">
            <w:pPr>
              <w:spacing w:line="276" w:lineRule="auto"/>
              <w:rPr>
                <w:color w:val="FF0000"/>
                <w:sz w:val="21"/>
              </w:rPr>
            </w:pPr>
          </w:p>
        </w:tc>
      </w:tr>
    </w:tbl>
    <w:p w:rsidR="00E9441C" w:rsidRDefault="00E9441C" w:rsidP="00E9441C">
      <w:pPr>
        <w:pStyle w:val="Heading3"/>
        <w:jc w:val="center"/>
        <w:rPr>
          <w:b w:val="0"/>
          <w:sz w:val="23"/>
        </w:rPr>
      </w:pPr>
      <w:r>
        <w:rPr>
          <w:b w:val="0"/>
          <w:sz w:val="23"/>
        </w:rPr>
        <w:t>(Key:  1-7 = Low Risk; 8-15 = Medium Risk; 16-25 = High Risk)</w:t>
      </w:r>
    </w:p>
    <w:p w:rsidR="00E9441C" w:rsidRDefault="00E9441C" w:rsidP="00E9441C">
      <w:pPr>
        <w:rPr>
          <w:szCs w:val="22"/>
        </w:rPr>
      </w:pPr>
    </w:p>
    <w:p w:rsidR="00E9441C" w:rsidRDefault="00E9441C" w:rsidP="00E9441C">
      <w:pPr>
        <w:rPr>
          <w:szCs w:val="22"/>
        </w:rPr>
      </w:pPr>
      <w:r>
        <w:rPr>
          <w:szCs w:val="22"/>
        </w:rPr>
        <w:t>Endorsed for Lochranza Centre CIC by Stuart Blake, Director</w:t>
      </w:r>
    </w:p>
    <w:p w:rsidR="00E9441C" w:rsidRDefault="00E9441C" w:rsidP="00E9441C">
      <w:pPr>
        <w:rPr>
          <w:szCs w:val="22"/>
        </w:rPr>
      </w:pPr>
    </w:p>
    <w:p w:rsidR="00E9441C" w:rsidRDefault="00E9441C" w:rsidP="00E9441C">
      <w:pPr>
        <w:rPr>
          <w:szCs w:val="22"/>
        </w:rPr>
      </w:pPr>
    </w:p>
    <w:p w:rsidR="00E9441C" w:rsidRDefault="00E9441C" w:rsidP="00E9441C">
      <w:pPr>
        <w:rPr>
          <w:szCs w:val="22"/>
        </w:rPr>
      </w:pPr>
    </w:p>
    <w:p w:rsidR="00E9441C" w:rsidRDefault="00E9441C" w:rsidP="00E9441C">
      <w:pPr>
        <w:rPr>
          <w:szCs w:val="22"/>
        </w:rPr>
      </w:pPr>
    </w:p>
    <w:p w:rsidR="00E9441C" w:rsidRDefault="00E9441C" w:rsidP="00E9441C">
      <w:r>
        <w:rPr>
          <w:szCs w:val="22"/>
        </w:rPr>
        <w:t>Date: 22/01/2019</w:t>
      </w:r>
    </w:p>
    <w:p w:rsidR="00E9441C" w:rsidRDefault="00E9441C" w:rsidP="00E9441C"/>
    <w:p w:rsidR="00BF52E1" w:rsidRDefault="00BF52E1"/>
    <w:sectPr w:rsidR="00BF52E1" w:rsidSect="00E9441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9441C"/>
    <w:rsid w:val="0074206A"/>
    <w:rsid w:val="00BF52E1"/>
    <w:rsid w:val="00E37FBF"/>
    <w:rsid w:val="00E944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1C"/>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E9441C"/>
    <w:pPr>
      <w:keepNext/>
      <w:jc w:val="center"/>
      <w:outlineLvl w:val="0"/>
    </w:pPr>
    <w:rPr>
      <w:b/>
    </w:rPr>
  </w:style>
  <w:style w:type="paragraph" w:styleId="Heading3">
    <w:name w:val="heading 3"/>
    <w:basedOn w:val="Normal"/>
    <w:next w:val="Normal"/>
    <w:link w:val="Heading3Char"/>
    <w:semiHidden/>
    <w:unhideWhenUsed/>
    <w:qFormat/>
    <w:rsid w:val="00E9441C"/>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41C"/>
    <w:rPr>
      <w:rFonts w:ascii="Arial" w:eastAsia="Times New Roman" w:hAnsi="Arial" w:cs="Times New Roman"/>
      <w:b/>
      <w:szCs w:val="20"/>
      <w:lang w:eastAsia="en-GB"/>
    </w:rPr>
  </w:style>
  <w:style w:type="character" w:customStyle="1" w:styleId="Heading3Char">
    <w:name w:val="Heading 3 Char"/>
    <w:basedOn w:val="DefaultParagraphFont"/>
    <w:link w:val="Heading3"/>
    <w:semiHidden/>
    <w:rsid w:val="00E9441C"/>
    <w:rPr>
      <w:rFonts w:ascii="Arial" w:eastAsia="Times New Roman" w:hAnsi="Arial" w:cs="Times New Roman"/>
      <w:b/>
      <w:sz w:val="24"/>
      <w:szCs w:val="20"/>
      <w:lang w:eastAsia="en-GB"/>
    </w:rPr>
  </w:style>
  <w:style w:type="paragraph" w:styleId="Header">
    <w:name w:val="header"/>
    <w:basedOn w:val="Normal"/>
    <w:link w:val="HeaderChar"/>
    <w:unhideWhenUsed/>
    <w:rsid w:val="00E9441C"/>
    <w:pPr>
      <w:tabs>
        <w:tab w:val="center" w:pos="4153"/>
        <w:tab w:val="right" w:pos="8306"/>
      </w:tabs>
    </w:pPr>
  </w:style>
  <w:style w:type="character" w:customStyle="1" w:styleId="HeaderChar">
    <w:name w:val="Header Char"/>
    <w:basedOn w:val="DefaultParagraphFont"/>
    <w:link w:val="Header"/>
    <w:rsid w:val="00E9441C"/>
    <w:rPr>
      <w:rFonts w:ascii="Arial" w:eastAsia="Times New Roman" w:hAnsi="Arial" w:cs="Times New Roman"/>
      <w:szCs w:val="20"/>
      <w:lang w:eastAsia="en-GB"/>
    </w:rPr>
  </w:style>
</w:styles>
</file>

<file path=word/webSettings.xml><?xml version="1.0" encoding="utf-8"?>
<w:webSettings xmlns:r="http://schemas.openxmlformats.org/officeDocument/2006/relationships" xmlns:w="http://schemas.openxmlformats.org/wordprocessingml/2006/main">
  <w:divs>
    <w:div w:id="36930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cp:revision>
  <dcterms:created xsi:type="dcterms:W3CDTF">2019-01-22T12:18:00Z</dcterms:created>
  <dcterms:modified xsi:type="dcterms:W3CDTF">2019-01-22T12:19:00Z</dcterms:modified>
</cp:coreProperties>
</file>