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1BA" w:rsidRDefault="00F361BA" w:rsidP="00F361BA">
      <w:r w:rsidRPr="00F361BA">
        <w:rPr>
          <w:noProof/>
        </w:rPr>
        <w:drawing>
          <wp:anchor distT="0" distB="0" distL="114300" distR="114300" simplePos="0" relativeHeight="251659264" behindDoc="1" locked="0" layoutInCell="1" allowOverlap="1">
            <wp:simplePos x="0" y="0"/>
            <wp:positionH relativeFrom="column">
              <wp:posOffset>-752475</wp:posOffset>
            </wp:positionH>
            <wp:positionV relativeFrom="paragraph">
              <wp:posOffset>-255270</wp:posOffset>
            </wp:positionV>
            <wp:extent cx="1000125" cy="676275"/>
            <wp:effectExtent l="19050" t="0" r="0" b="0"/>
            <wp:wrapTight wrapText="bothSides">
              <wp:wrapPolygon edited="0">
                <wp:start x="-412" y="0"/>
                <wp:lineTo x="-412" y="20805"/>
                <wp:lineTo x="21421" y="20805"/>
                <wp:lineTo x="21421" y="0"/>
                <wp:lineTo x="-412" y="0"/>
              </wp:wrapPolygon>
            </wp:wrapTight>
            <wp:docPr id="6" name="Picture 0" descr="LOGO C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IC.jpg"/>
                    <pic:cNvPicPr/>
                  </pic:nvPicPr>
                  <pic:blipFill>
                    <a:blip r:embed="rId6" cstate="print"/>
                    <a:stretch>
                      <a:fillRect/>
                    </a:stretch>
                  </pic:blipFill>
                  <pic:spPr>
                    <a:xfrm>
                      <a:off x="0" y="0"/>
                      <a:ext cx="998855" cy="672465"/>
                    </a:xfrm>
                    <a:prstGeom prst="rect">
                      <a:avLst/>
                    </a:prstGeom>
                  </pic:spPr>
                </pic:pic>
              </a:graphicData>
            </a:graphic>
          </wp:anchor>
        </w:drawing>
      </w:r>
    </w:p>
    <w:p w:rsidR="00F361BA" w:rsidRDefault="00F361BA" w:rsidP="00F361BA"/>
    <w:p w:rsidR="00F361BA" w:rsidRDefault="00F361BA" w:rsidP="00F361BA">
      <w:pPr>
        <w:jc w:val="center"/>
        <w:rPr>
          <w:b/>
          <w:color w:val="FF0000"/>
          <w:sz w:val="28"/>
          <w:szCs w:val="28"/>
        </w:rPr>
      </w:pPr>
      <w:r>
        <w:t xml:space="preserve">Lochranza Field </w:t>
      </w:r>
      <w:proofErr w:type="gramStart"/>
      <w:r>
        <w:t xml:space="preserve">Centre </w:t>
      </w:r>
      <w:r>
        <w:rPr>
          <w:sz w:val="21"/>
        </w:rPr>
        <w:t xml:space="preserve"> </w:t>
      </w:r>
      <w:r>
        <w:rPr>
          <w:b/>
          <w:sz w:val="28"/>
          <w:szCs w:val="28"/>
        </w:rPr>
        <w:t>Site</w:t>
      </w:r>
      <w:proofErr w:type="gramEnd"/>
      <w:r>
        <w:rPr>
          <w:b/>
          <w:sz w:val="28"/>
          <w:szCs w:val="28"/>
        </w:rPr>
        <w:t xml:space="preserve"> Specific Risk Assessment: </w:t>
      </w:r>
      <w:r>
        <w:t xml:space="preserve">River Studies/Freshwater Ecology: </w:t>
      </w:r>
      <w:proofErr w:type="spellStart"/>
      <w:r>
        <w:t>Chalmadale</w:t>
      </w:r>
      <w:proofErr w:type="spellEnd"/>
    </w:p>
    <w:p w:rsidR="00F361BA" w:rsidRPr="0043579B" w:rsidRDefault="00F361BA" w:rsidP="00F361BA">
      <w:pPr>
        <w:rPr>
          <w:b/>
          <w:color w:val="FF0000"/>
          <w:sz w:val="28"/>
          <w:szCs w:val="28"/>
        </w:rPr>
      </w:pPr>
    </w:p>
    <w:p w:rsidR="00F361BA" w:rsidRDefault="00F361BA" w:rsidP="00F361BA">
      <w:pPr>
        <w:rPr>
          <w:b/>
          <w:szCs w:val="22"/>
        </w:rPr>
      </w:pPr>
      <w:r>
        <w:rPr>
          <w:b/>
          <w:szCs w:val="22"/>
        </w:rPr>
        <w:t xml:space="preserve">Date: </w:t>
      </w:r>
      <w:r w:rsidR="002041FB">
        <w:t>22</w:t>
      </w:r>
      <w:r w:rsidR="00ED146B">
        <w:t>/01</w:t>
      </w:r>
      <w:r w:rsidR="002041FB">
        <w:t>/2019</w:t>
      </w:r>
    </w:p>
    <w:p w:rsidR="00F361BA" w:rsidRDefault="00F361BA" w:rsidP="00F361BA">
      <w:pPr>
        <w:rPr>
          <w:b/>
          <w:szCs w:val="22"/>
        </w:rPr>
      </w:pPr>
    </w:p>
    <w:p w:rsidR="00F361BA" w:rsidRPr="00CD0826" w:rsidRDefault="00F361BA" w:rsidP="00F361BA">
      <w:pPr>
        <w:rPr>
          <w:b/>
          <w:szCs w:val="22"/>
        </w:rPr>
      </w:pPr>
      <w:r>
        <w:rPr>
          <w:b/>
          <w:szCs w:val="22"/>
        </w:rPr>
        <w:t xml:space="preserve">Completed By: </w:t>
      </w:r>
      <w:r w:rsidR="0054692D">
        <w:t>Chris Traill</w:t>
      </w:r>
    </w:p>
    <w:p w:rsidR="00F361BA" w:rsidRDefault="00F361BA" w:rsidP="00F361BA">
      <w:pPr>
        <w:rPr>
          <w:rFonts w:cs="Arial"/>
          <w:sz w:val="20"/>
        </w:rPr>
      </w:pPr>
      <w:r>
        <w:rPr>
          <w:rFonts w:cs="Arial"/>
          <w:sz w:val="20"/>
        </w:rPr>
        <w:t>Where Hazards have been identified as Generic to all activities the controls are specified within the Generic Instructing Standards</w:t>
      </w:r>
    </w:p>
    <w:p w:rsidR="00F361BA" w:rsidRPr="00FA2B37" w:rsidRDefault="00F361BA" w:rsidP="00F361BA">
      <w:pPr>
        <w:rPr>
          <w:rFonts w:cs="Arial"/>
          <w:sz w:val="20"/>
        </w:rPr>
      </w:pPr>
      <w:r w:rsidRPr="00FA2B37">
        <w:rPr>
          <w:rFonts w:cs="Arial"/>
          <w:sz w:val="20"/>
        </w:rPr>
        <w:t xml:space="preserve">Where Hazards have been identified as </w:t>
      </w:r>
      <w:proofErr w:type="gramStart"/>
      <w:r w:rsidRPr="00FA2B37">
        <w:rPr>
          <w:rFonts w:cs="Arial"/>
          <w:sz w:val="20"/>
        </w:rPr>
        <w:t>Generic</w:t>
      </w:r>
      <w:proofErr w:type="gramEnd"/>
      <w:r w:rsidRPr="00FA2B37">
        <w:rPr>
          <w:rFonts w:cs="Arial"/>
          <w:sz w:val="20"/>
        </w:rPr>
        <w:t xml:space="preserve"> to all </w:t>
      </w:r>
      <w:r w:rsidRPr="00FA2B37">
        <w:rPr>
          <w:sz w:val="20"/>
        </w:rPr>
        <w:t>Lochranza Field Studies</w:t>
      </w:r>
      <w:r w:rsidRPr="00FA2B37">
        <w:rPr>
          <w:rFonts w:cs="Arial"/>
          <w:sz w:val="20"/>
        </w:rPr>
        <w:t xml:space="preserve"> activities the controls are specified within the Generic Off </w:t>
      </w:r>
      <w:r w:rsidRPr="00FA2B37">
        <w:rPr>
          <w:sz w:val="20"/>
        </w:rPr>
        <w:t>Lochranza Local Operating Area Risk Assessment</w:t>
      </w:r>
    </w:p>
    <w:p w:rsidR="00F361BA" w:rsidRPr="009B559B" w:rsidRDefault="00F361BA" w:rsidP="00F361BA">
      <w:pPr>
        <w:rPr>
          <w:rFonts w:cs="Arial"/>
          <w:sz w:val="20"/>
        </w:rPr>
      </w:pPr>
      <w:r w:rsidRPr="00FA2B37">
        <w:rPr>
          <w:rFonts w:cs="Arial"/>
          <w:sz w:val="20"/>
        </w:rPr>
        <w:t xml:space="preserve">Where </w:t>
      </w:r>
      <w:r w:rsidRPr="007E3E3B">
        <w:rPr>
          <w:rFonts w:cs="Arial"/>
          <w:sz w:val="20"/>
        </w:rPr>
        <w:t xml:space="preserve">Hazards have </w:t>
      </w:r>
      <w:r w:rsidRPr="00D951B3">
        <w:rPr>
          <w:rFonts w:cs="Arial"/>
          <w:sz w:val="20"/>
        </w:rPr>
        <w:t xml:space="preserve">been </w:t>
      </w:r>
      <w:r w:rsidRPr="009B559B">
        <w:rPr>
          <w:rFonts w:cs="Arial"/>
          <w:sz w:val="20"/>
        </w:rPr>
        <w:t>identified as Generic to all</w:t>
      </w:r>
      <w:r w:rsidRPr="009B559B">
        <w:rPr>
          <w:sz w:val="20"/>
        </w:rPr>
        <w:t xml:space="preserve"> river and freshwater ecology Field Studies</w:t>
      </w:r>
      <w:r w:rsidRPr="009B559B">
        <w:rPr>
          <w:rFonts w:cs="Arial"/>
          <w:sz w:val="20"/>
        </w:rPr>
        <w:t xml:space="preserve"> the controls are specified within the Generic Risk Assessment: </w:t>
      </w:r>
      <w:r w:rsidRPr="009B559B">
        <w:rPr>
          <w:sz w:val="20"/>
        </w:rPr>
        <w:t>Study - Rivers.</w:t>
      </w:r>
    </w:p>
    <w:p w:rsidR="00F361BA" w:rsidRPr="00670C9D" w:rsidRDefault="00F361BA" w:rsidP="00F361BA">
      <w:pPr>
        <w:tabs>
          <w:tab w:val="center" w:pos="6979"/>
        </w:tabs>
        <w:rPr>
          <w:color w:val="FF0000"/>
          <w:szCs w:val="2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8788"/>
        <w:gridCol w:w="992"/>
        <w:gridCol w:w="993"/>
        <w:gridCol w:w="850"/>
      </w:tblGrid>
      <w:tr w:rsidR="00F361BA" w:rsidRPr="00670C9D" w:rsidTr="00061DE5">
        <w:tc>
          <w:tcPr>
            <w:tcW w:w="2802" w:type="dxa"/>
            <w:tcBorders>
              <w:bottom w:val="single" w:sz="4" w:space="0" w:color="auto"/>
            </w:tcBorders>
          </w:tcPr>
          <w:p w:rsidR="00F361BA" w:rsidRPr="00670C9D" w:rsidRDefault="00F361BA" w:rsidP="00061DE5">
            <w:pPr>
              <w:pStyle w:val="Heading1"/>
              <w:rPr>
                <w:color w:val="FF0000"/>
                <w:szCs w:val="22"/>
              </w:rPr>
            </w:pPr>
            <w:r w:rsidRPr="00670C9D">
              <w:rPr>
                <w:color w:val="FF0000"/>
                <w:szCs w:val="22"/>
              </w:rPr>
              <w:t>Hazards</w:t>
            </w:r>
          </w:p>
          <w:p w:rsidR="00F361BA" w:rsidRPr="00670C9D" w:rsidRDefault="00F361BA" w:rsidP="00061DE5">
            <w:pPr>
              <w:rPr>
                <w:color w:val="FF0000"/>
                <w:szCs w:val="22"/>
              </w:rPr>
            </w:pPr>
            <w:r w:rsidRPr="00670C9D">
              <w:rPr>
                <w:color w:val="FF0000"/>
                <w:szCs w:val="22"/>
              </w:rPr>
              <w:t xml:space="preserve">      (please specify)</w:t>
            </w:r>
          </w:p>
        </w:tc>
        <w:tc>
          <w:tcPr>
            <w:tcW w:w="8788" w:type="dxa"/>
            <w:tcBorders>
              <w:bottom w:val="single" w:sz="4" w:space="0" w:color="auto"/>
            </w:tcBorders>
          </w:tcPr>
          <w:p w:rsidR="00F361BA" w:rsidRPr="00670C9D" w:rsidRDefault="00F361BA" w:rsidP="00061DE5">
            <w:pPr>
              <w:rPr>
                <w:b/>
                <w:color w:val="FF0000"/>
                <w:szCs w:val="22"/>
              </w:rPr>
            </w:pPr>
            <w:r w:rsidRPr="00670C9D">
              <w:rPr>
                <w:b/>
                <w:color w:val="FF0000"/>
                <w:szCs w:val="22"/>
              </w:rPr>
              <w:t>Existing Control Measures</w:t>
            </w:r>
          </w:p>
          <w:p w:rsidR="00F361BA" w:rsidRPr="00670C9D" w:rsidRDefault="00F361BA" w:rsidP="00061DE5">
            <w:pPr>
              <w:pStyle w:val="Header"/>
              <w:tabs>
                <w:tab w:val="clear" w:pos="4153"/>
                <w:tab w:val="clear" w:pos="8306"/>
              </w:tabs>
              <w:rPr>
                <w:color w:val="FF0000"/>
              </w:rPr>
            </w:pPr>
            <w:r w:rsidRPr="00670C9D">
              <w:rPr>
                <w:color w:val="FF0000"/>
              </w:rPr>
              <w:t>(please specify if present)</w:t>
            </w:r>
          </w:p>
        </w:tc>
        <w:tc>
          <w:tcPr>
            <w:tcW w:w="2835" w:type="dxa"/>
            <w:gridSpan w:val="3"/>
          </w:tcPr>
          <w:p w:rsidR="00F361BA" w:rsidRPr="00670C9D" w:rsidRDefault="00F361BA" w:rsidP="00061DE5">
            <w:pPr>
              <w:rPr>
                <w:b/>
                <w:color w:val="FF0000"/>
                <w:szCs w:val="22"/>
              </w:rPr>
            </w:pPr>
            <w:r w:rsidRPr="00670C9D">
              <w:rPr>
                <w:b/>
                <w:color w:val="FF0000"/>
                <w:szCs w:val="22"/>
              </w:rPr>
              <w:t>Residual Risk Level</w:t>
            </w:r>
          </w:p>
          <w:p w:rsidR="00F361BA" w:rsidRPr="00670C9D" w:rsidRDefault="00F361BA" w:rsidP="00061DE5">
            <w:pPr>
              <w:pStyle w:val="Header"/>
              <w:tabs>
                <w:tab w:val="clear" w:pos="4153"/>
                <w:tab w:val="clear" w:pos="8306"/>
              </w:tabs>
              <w:rPr>
                <w:color w:val="FF0000"/>
              </w:rPr>
            </w:pPr>
            <w:r w:rsidRPr="00670C9D">
              <w:rPr>
                <w:color w:val="FF0000"/>
              </w:rPr>
              <w:t>(Insert values and multiple</w:t>
            </w:r>
          </w:p>
          <w:p w:rsidR="00F361BA" w:rsidRPr="00670C9D" w:rsidRDefault="00F361BA" w:rsidP="00061DE5">
            <w:pPr>
              <w:pStyle w:val="Header"/>
              <w:tabs>
                <w:tab w:val="clear" w:pos="4153"/>
                <w:tab w:val="clear" w:pos="8306"/>
              </w:tabs>
              <w:rPr>
                <w:color w:val="FF0000"/>
              </w:rPr>
            </w:pPr>
            <w:r w:rsidRPr="00670C9D">
              <w:rPr>
                <w:color w:val="FF0000"/>
              </w:rPr>
              <w:t>score : see key )</w:t>
            </w:r>
          </w:p>
        </w:tc>
      </w:tr>
      <w:tr w:rsidR="00F361BA" w:rsidRPr="00670C9D" w:rsidTr="00061DE5">
        <w:trPr>
          <w:cantSplit/>
        </w:trPr>
        <w:tc>
          <w:tcPr>
            <w:tcW w:w="2802" w:type="dxa"/>
            <w:shd w:val="pct25" w:color="auto" w:fill="C0C0C0"/>
          </w:tcPr>
          <w:p w:rsidR="00F361BA" w:rsidRPr="00670C9D" w:rsidRDefault="00F361BA" w:rsidP="00061DE5">
            <w:pPr>
              <w:rPr>
                <w:color w:val="FF0000"/>
                <w:szCs w:val="22"/>
              </w:rPr>
            </w:pPr>
          </w:p>
        </w:tc>
        <w:tc>
          <w:tcPr>
            <w:tcW w:w="8788" w:type="dxa"/>
            <w:shd w:val="pct25" w:color="auto" w:fill="C0C0C0"/>
          </w:tcPr>
          <w:p w:rsidR="00F361BA" w:rsidRPr="00670C9D" w:rsidRDefault="00F361BA" w:rsidP="00061DE5">
            <w:pPr>
              <w:rPr>
                <w:color w:val="FF0000"/>
                <w:szCs w:val="22"/>
              </w:rPr>
            </w:pPr>
          </w:p>
        </w:tc>
        <w:tc>
          <w:tcPr>
            <w:tcW w:w="992" w:type="dxa"/>
          </w:tcPr>
          <w:p w:rsidR="00F361BA" w:rsidRPr="00670C9D" w:rsidRDefault="00F361BA" w:rsidP="00061DE5">
            <w:pPr>
              <w:jc w:val="center"/>
              <w:rPr>
                <w:b/>
                <w:color w:val="FF0000"/>
                <w:szCs w:val="22"/>
              </w:rPr>
            </w:pPr>
            <w:r w:rsidRPr="00670C9D">
              <w:rPr>
                <w:b/>
                <w:color w:val="FF0000"/>
                <w:szCs w:val="22"/>
              </w:rPr>
              <w:t>Low</w:t>
            </w:r>
          </w:p>
        </w:tc>
        <w:tc>
          <w:tcPr>
            <w:tcW w:w="993" w:type="dxa"/>
          </w:tcPr>
          <w:p w:rsidR="00F361BA" w:rsidRPr="00670C9D" w:rsidRDefault="00F361BA" w:rsidP="00061DE5">
            <w:pPr>
              <w:jc w:val="center"/>
              <w:rPr>
                <w:b/>
                <w:color w:val="FF0000"/>
                <w:szCs w:val="22"/>
              </w:rPr>
            </w:pPr>
            <w:r w:rsidRPr="00670C9D">
              <w:rPr>
                <w:b/>
                <w:color w:val="FF0000"/>
                <w:szCs w:val="22"/>
              </w:rPr>
              <w:t>Med</w:t>
            </w:r>
          </w:p>
        </w:tc>
        <w:tc>
          <w:tcPr>
            <w:tcW w:w="850" w:type="dxa"/>
          </w:tcPr>
          <w:p w:rsidR="00F361BA" w:rsidRPr="00670C9D" w:rsidRDefault="00F361BA" w:rsidP="00061DE5">
            <w:pPr>
              <w:jc w:val="center"/>
              <w:rPr>
                <w:b/>
                <w:color w:val="FF0000"/>
                <w:szCs w:val="22"/>
              </w:rPr>
            </w:pPr>
            <w:r w:rsidRPr="00670C9D">
              <w:rPr>
                <w:b/>
                <w:color w:val="FF0000"/>
                <w:szCs w:val="22"/>
              </w:rPr>
              <w:t>High</w:t>
            </w:r>
          </w:p>
        </w:tc>
      </w:tr>
      <w:tr w:rsidR="00F361BA" w:rsidRPr="00670C9D" w:rsidTr="00061DE5">
        <w:trPr>
          <w:cantSplit/>
        </w:trPr>
        <w:tc>
          <w:tcPr>
            <w:tcW w:w="2802" w:type="dxa"/>
          </w:tcPr>
          <w:p w:rsidR="00F361BA" w:rsidRPr="0035749B" w:rsidRDefault="00F361BA" w:rsidP="00061DE5">
            <w:r>
              <w:t xml:space="preserve">Emergency access: Injury or illness worsened by delay in arrival of emergency services. </w:t>
            </w:r>
          </w:p>
        </w:tc>
        <w:tc>
          <w:tcPr>
            <w:tcW w:w="8788" w:type="dxa"/>
          </w:tcPr>
          <w:p w:rsidR="00F361BA" w:rsidRPr="0035749B" w:rsidRDefault="00F361BA" w:rsidP="00061DE5">
            <w:r>
              <w:t>Instructor to</w:t>
            </w:r>
            <w:r w:rsidRPr="007006FF">
              <w:t xml:space="preserve"> be trained according to the SSOP. Instructor to be aware of the variation in mobile phone signal around Lochranza. In the area of no signal a nominated messenger will be sent directly to the Lochranza Field Centre office.</w:t>
            </w:r>
          </w:p>
        </w:tc>
        <w:tc>
          <w:tcPr>
            <w:tcW w:w="992" w:type="dxa"/>
          </w:tcPr>
          <w:p w:rsidR="00F361BA" w:rsidRDefault="00F361BA" w:rsidP="00061DE5"/>
          <w:p w:rsidR="00F361BA" w:rsidRPr="0035749B" w:rsidRDefault="00F361BA" w:rsidP="00061DE5">
            <w:pPr>
              <w:rPr>
                <w:sz w:val="21"/>
              </w:rPr>
            </w:pPr>
            <w:r>
              <w:t>2x2 = 4</w:t>
            </w:r>
          </w:p>
        </w:tc>
        <w:tc>
          <w:tcPr>
            <w:tcW w:w="993" w:type="dxa"/>
          </w:tcPr>
          <w:p w:rsidR="00F361BA" w:rsidRPr="00670C9D" w:rsidRDefault="00F361BA" w:rsidP="00061DE5">
            <w:pPr>
              <w:rPr>
                <w:color w:val="FF0000"/>
                <w:sz w:val="21"/>
              </w:rPr>
            </w:pPr>
          </w:p>
        </w:tc>
        <w:tc>
          <w:tcPr>
            <w:tcW w:w="850" w:type="dxa"/>
          </w:tcPr>
          <w:p w:rsidR="00F361BA" w:rsidRPr="00670C9D" w:rsidRDefault="00F361BA" w:rsidP="00061DE5">
            <w:pPr>
              <w:rPr>
                <w:color w:val="FF0000"/>
                <w:sz w:val="21"/>
              </w:rPr>
            </w:pPr>
          </w:p>
        </w:tc>
      </w:tr>
      <w:tr w:rsidR="00F361BA" w:rsidRPr="00670C9D" w:rsidTr="00061DE5">
        <w:trPr>
          <w:cantSplit/>
        </w:trPr>
        <w:tc>
          <w:tcPr>
            <w:tcW w:w="2802" w:type="dxa"/>
          </w:tcPr>
          <w:p w:rsidR="00F361BA" w:rsidRPr="0035749B" w:rsidRDefault="00F361BA" w:rsidP="00061DE5">
            <w:r>
              <w:t>Heavy rainfall or snowmelt; injury caused by rapidly rising or very high river levels.</w:t>
            </w:r>
          </w:p>
        </w:tc>
        <w:tc>
          <w:tcPr>
            <w:tcW w:w="8788" w:type="dxa"/>
          </w:tcPr>
          <w:p w:rsidR="00F361BA" w:rsidRPr="0035749B" w:rsidRDefault="00F361BA" w:rsidP="00061DE5">
            <w:r>
              <w:t>Instructor will remain vigilant at all times when heavy rainfall or rapid thaw conditions are forecast. The instructor will monitor the river level while participants are in the river and participants will only work in safe levels/flow rates.</w:t>
            </w:r>
          </w:p>
        </w:tc>
        <w:tc>
          <w:tcPr>
            <w:tcW w:w="992" w:type="dxa"/>
          </w:tcPr>
          <w:p w:rsidR="00F361BA" w:rsidRDefault="00F361BA" w:rsidP="00061DE5"/>
          <w:p w:rsidR="00F361BA" w:rsidRPr="0035749B" w:rsidRDefault="00F361BA" w:rsidP="00061DE5">
            <w:pPr>
              <w:rPr>
                <w:sz w:val="21"/>
              </w:rPr>
            </w:pPr>
            <w:r>
              <w:t>4x1 = 4</w:t>
            </w:r>
          </w:p>
        </w:tc>
        <w:tc>
          <w:tcPr>
            <w:tcW w:w="993" w:type="dxa"/>
          </w:tcPr>
          <w:p w:rsidR="00F361BA" w:rsidRPr="00670C9D" w:rsidRDefault="00F361BA" w:rsidP="00061DE5">
            <w:pPr>
              <w:rPr>
                <w:color w:val="FF0000"/>
                <w:sz w:val="21"/>
              </w:rPr>
            </w:pPr>
          </w:p>
        </w:tc>
        <w:tc>
          <w:tcPr>
            <w:tcW w:w="850" w:type="dxa"/>
          </w:tcPr>
          <w:p w:rsidR="00F361BA" w:rsidRPr="00670C9D" w:rsidRDefault="00F361BA" w:rsidP="00061DE5">
            <w:pPr>
              <w:rPr>
                <w:color w:val="FF0000"/>
                <w:sz w:val="21"/>
              </w:rPr>
            </w:pPr>
          </w:p>
        </w:tc>
      </w:tr>
      <w:tr w:rsidR="00F361BA" w:rsidRPr="00670C9D" w:rsidTr="00061DE5">
        <w:trPr>
          <w:cantSplit/>
        </w:trPr>
        <w:tc>
          <w:tcPr>
            <w:tcW w:w="2802" w:type="dxa"/>
          </w:tcPr>
          <w:p w:rsidR="00F361BA" w:rsidRPr="0035749B" w:rsidRDefault="00F361BA" w:rsidP="00061DE5">
            <w:r>
              <w:t>Confluence pool; injury caused by falling from rope swing &amp; deep water.</w:t>
            </w:r>
          </w:p>
        </w:tc>
        <w:tc>
          <w:tcPr>
            <w:tcW w:w="8788" w:type="dxa"/>
          </w:tcPr>
          <w:p w:rsidR="00F361BA" w:rsidRPr="0035749B" w:rsidRDefault="00F361BA" w:rsidP="00061DE5">
            <w:r w:rsidRPr="00CD3299">
              <w:t xml:space="preserve">Participants </w:t>
            </w:r>
            <w:r>
              <w:t>are briefed on the hazard. No one is allowed to</w:t>
            </w:r>
            <w:r w:rsidRPr="00CD3299">
              <w:t xml:space="preserve"> use rope swing</w:t>
            </w:r>
            <w:r>
              <w:t>. Instructor checks for enlargement by scouring of the confluence pool at every visit. Students are not allowed to work</w:t>
            </w:r>
            <w:r w:rsidRPr="00CD3299">
              <w:t xml:space="preserve"> in areas </w:t>
            </w:r>
            <w:r>
              <w:t xml:space="preserve">of water </w:t>
            </w:r>
            <w:r w:rsidRPr="00CD3299">
              <w:t xml:space="preserve">close to </w:t>
            </w:r>
            <w:r>
              <w:t>the drop off into the confluence pool</w:t>
            </w:r>
            <w:r w:rsidRPr="00CD3299">
              <w:t>.</w:t>
            </w:r>
          </w:p>
        </w:tc>
        <w:tc>
          <w:tcPr>
            <w:tcW w:w="992" w:type="dxa"/>
          </w:tcPr>
          <w:p w:rsidR="00F361BA" w:rsidRDefault="00F361BA" w:rsidP="00061DE5"/>
          <w:p w:rsidR="00F361BA" w:rsidRPr="0035749B" w:rsidRDefault="00F361BA" w:rsidP="00061DE5">
            <w:pPr>
              <w:rPr>
                <w:sz w:val="21"/>
              </w:rPr>
            </w:pPr>
            <w:r>
              <w:t>3x2 = 6</w:t>
            </w:r>
          </w:p>
        </w:tc>
        <w:tc>
          <w:tcPr>
            <w:tcW w:w="993" w:type="dxa"/>
          </w:tcPr>
          <w:p w:rsidR="00F361BA" w:rsidRPr="00670C9D" w:rsidRDefault="00F361BA" w:rsidP="00061DE5">
            <w:pPr>
              <w:rPr>
                <w:color w:val="FF0000"/>
                <w:sz w:val="21"/>
              </w:rPr>
            </w:pPr>
          </w:p>
        </w:tc>
        <w:tc>
          <w:tcPr>
            <w:tcW w:w="850" w:type="dxa"/>
          </w:tcPr>
          <w:p w:rsidR="00F361BA" w:rsidRPr="00670C9D" w:rsidRDefault="00F361BA" w:rsidP="00061DE5">
            <w:pPr>
              <w:rPr>
                <w:color w:val="FF0000"/>
                <w:sz w:val="21"/>
              </w:rPr>
            </w:pPr>
          </w:p>
        </w:tc>
      </w:tr>
      <w:tr w:rsidR="00F361BA" w:rsidRPr="00670C9D" w:rsidTr="00061DE5">
        <w:trPr>
          <w:cantSplit/>
        </w:trPr>
        <w:tc>
          <w:tcPr>
            <w:tcW w:w="2802" w:type="dxa"/>
          </w:tcPr>
          <w:p w:rsidR="00F361BA" w:rsidRPr="0035749B" w:rsidRDefault="00F361BA" w:rsidP="00061DE5">
            <w:r>
              <w:t>Drowning: i</w:t>
            </w:r>
            <w:r w:rsidRPr="00EC5A6A">
              <w:t>njury caus</w:t>
            </w:r>
            <w:r>
              <w:t>ed by submersion in</w:t>
            </w:r>
            <w:r w:rsidRPr="00EC5A6A">
              <w:t xml:space="preserve"> water</w:t>
            </w:r>
            <w:r>
              <w:t>.</w:t>
            </w:r>
          </w:p>
        </w:tc>
        <w:tc>
          <w:tcPr>
            <w:tcW w:w="8788" w:type="dxa"/>
          </w:tcPr>
          <w:p w:rsidR="00F361BA" w:rsidRPr="0035749B" w:rsidRDefault="00F361BA" w:rsidP="00061DE5">
            <w:r>
              <w:t xml:space="preserve">Irrespective of the height of </w:t>
            </w:r>
            <w:proofErr w:type="gramStart"/>
            <w:r>
              <w:t>participants</w:t>
            </w:r>
            <w:proofErr w:type="gramEnd"/>
            <w:r>
              <w:t xml:space="preserve"> wellingtons/waders no one will deliberately enter water higher than knee height; due to the increased risk of being knocked over by current at any flow rate.</w:t>
            </w:r>
          </w:p>
        </w:tc>
        <w:tc>
          <w:tcPr>
            <w:tcW w:w="992" w:type="dxa"/>
          </w:tcPr>
          <w:p w:rsidR="00F361BA" w:rsidRDefault="00F361BA" w:rsidP="00061DE5"/>
          <w:p w:rsidR="00F361BA" w:rsidRPr="0035749B" w:rsidRDefault="00F361BA" w:rsidP="00061DE5">
            <w:pPr>
              <w:rPr>
                <w:sz w:val="21"/>
              </w:rPr>
            </w:pPr>
            <w:r>
              <w:t>4x1 = 4</w:t>
            </w:r>
          </w:p>
        </w:tc>
        <w:tc>
          <w:tcPr>
            <w:tcW w:w="993" w:type="dxa"/>
          </w:tcPr>
          <w:p w:rsidR="00F361BA" w:rsidRPr="00670C9D" w:rsidRDefault="00F361BA" w:rsidP="00061DE5">
            <w:pPr>
              <w:rPr>
                <w:color w:val="FF0000"/>
                <w:sz w:val="21"/>
              </w:rPr>
            </w:pPr>
          </w:p>
        </w:tc>
        <w:tc>
          <w:tcPr>
            <w:tcW w:w="850" w:type="dxa"/>
          </w:tcPr>
          <w:p w:rsidR="00F361BA" w:rsidRPr="00670C9D" w:rsidRDefault="00F361BA" w:rsidP="00061DE5">
            <w:pPr>
              <w:rPr>
                <w:color w:val="FF0000"/>
                <w:sz w:val="21"/>
              </w:rPr>
            </w:pPr>
          </w:p>
        </w:tc>
      </w:tr>
    </w:tbl>
    <w:p w:rsidR="00F361BA" w:rsidRDefault="00F361BA" w:rsidP="00F361BA">
      <w:pPr>
        <w:pStyle w:val="Heading3"/>
        <w:jc w:val="center"/>
        <w:rPr>
          <w:b w:val="0"/>
          <w:sz w:val="23"/>
        </w:rPr>
      </w:pPr>
      <w:r>
        <w:rPr>
          <w:b w:val="0"/>
          <w:sz w:val="23"/>
        </w:rPr>
        <w:t>(Key:  1-7 = Low Risk; 8-15 = Medium Risk; 16-25 = High Risk)</w:t>
      </w:r>
    </w:p>
    <w:p w:rsidR="00F361BA" w:rsidRDefault="00F361BA" w:rsidP="00F361BA">
      <w:pPr>
        <w:rPr>
          <w:szCs w:val="22"/>
        </w:rPr>
      </w:pPr>
    </w:p>
    <w:p w:rsidR="00F361BA" w:rsidRDefault="00F361BA" w:rsidP="0054692D">
      <w:pPr>
        <w:rPr>
          <w:szCs w:val="22"/>
        </w:rPr>
      </w:pPr>
      <w:r>
        <w:rPr>
          <w:szCs w:val="22"/>
        </w:rPr>
        <w:t>Endorsed</w:t>
      </w:r>
      <w:r w:rsidR="0054692D">
        <w:rPr>
          <w:szCs w:val="22"/>
        </w:rPr>
        <w:t xml:space="preserve"> for Lochranza Centre CIC by Chris Traill, Director</w:t>
      </w:r>
    </w:p>
    <w:p w:rsidR="00F361BA" w:rsidRDefault="00F361BA" w:rsidP="00F361BA">
      <w:pPr>
        <w:rPr>
          <w:szCs w:val="22"/>
        </w:rPr>
      </w:pPr>
    </w:p>
    <w:p w:rsidR="0054692D" w:rsidRDefault="0054692D" w:rsidP="00F361BA">
      <w:pPr>
        <w:rPr>
          <w:szCs w:val="22"/>
        </w:rPr>
      </w:pPr>
    </w:p>
    <w:p w:rsidR="00F361BA" w:rsidRDefault="00F361BA" w:rsidP="00F361BA">
      <w:pPr>
        <w:rPr>
          <w:szCs w:val="22"/>
        </w:rPr>
      </w:pPr>
    </w:p>
    <w:p w:rsidR="00F361BA" w:rsidRPr="00325BAC" w:rsidRDefault="00F361BA" w:rsidP="00F361BA">
      <w:r>
        <w:rPr>
          <w:szCs w:val="22"/>
        </w:rPr>
        <w:t>Date</w:t>
      </w:r>
      <w:r w:rsidR="002041FB">
        <w:t>: 22</w:t>
      </w:r>
      <w:r w:rsidR="00ED146B">
        <w:t>/01</w:t>
      </w:r>
      <w:r w:rsidR="002041FB">
        <w:t>/2019</w:t>
      </w:r>
      <w:r>
        <w:rPr>
          <w:szCs w:val="22"/>
        </w:rPr>
        <w:t xml:space="preserve"> </w:t>
      </w:r>
    </w:p>
    <w:p w:rsidR="00CC5CCB" w:rsidRDefault="00CC5CCB"/>
    <w:sectPr w:rsidR="00CC5CCB" w:rsidSect="001C4641">
      <w:footerReference w:type="default" r:id="rId7"/>
      <w:pgSz w:w="16838" w:h="11906" w:orient="landscape"/>
      <w:pgMar w:top="567" w:right="1440" w:bottom="873"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FE6" w:rsidRDefault="00F64FE6" w:rsidP="00832EDC">
      <w:r>
        <w:separator/>
      </w:r>
    </w:p>
  </w:endnote>
  <w:endnote w:type="continuationSeparator" w:id="0">
    <w:p w:rsidR="00F64FE6" w:rsidRDefault="00F64FE6" w:rsidP="00832E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C7C" w:rsidRDefault="00F361BA" w:rsidP="00575C7C">
    <w:pPr>
      <w:pStyle w:val="Footer"/>
    </w:pPr>
    <w:r>
      <w:t>SITE SPECIFIC RISK ASSESSMENT</w:t>
    </w:r>
  </w:p>
  <w:p w:rsidR="00575C7C" w:rsidRDefault="00F361BA" w:rsidP="00575C7C">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FE6" w:rsidRDefault="00F64FE6" w:rsidP="00832EDC">
      <w:r>
        <w:separator/>
      </w:r>
    </w:p>
  </w:footnote>
  <w:footnote w:type="continuationSeparator" w:id="0">
    <w:p w:rsidR="00F64FE6" w:rsidRDefault="00F64FE6" w:rsidP="00832E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361BA"/>
    <w:rsid w:val="00000F00"/>
    <w:rsid w:val="00004C24"/>
    <w:rsid w:val="000507D7"/>
    <w:rsid w:val="00065569"/>
    <w:rsid w:val="00075467"/>
    <w:rsid w:val="000B76B4"/>
    <w:rsid w:val="000C1C06"/>
    <w:rsid w:val="000D31B8"/>
    <w:rsid w:val="000E357B"/>
    <w:rsid w:val="001213A3"/>
    <w:rsid w:val="001F4E72"/>
    <w:rsid w:val="002041FB"/>
    <w:rsid w:val="00250E28"/>
    <w:rsid w:val="00257A49"/>
    <w:rsid w:val="00277D8C"/>
    <w:rsid w:val="002834AE"/>
    <w:rsid w:val="00290920"/>
    <w:rsid w:val="002C006C"/>
    <w:rsid w:val="002D0A61"/>
    <w:rsid w:val="003557E0"/>
    <w:rsid w:val="004613F3"/>
    <w:rsid w:val="00474B12"/>
    <w:rsid w:val="00485D06"/>
    <w:rsid w:val="0049151B"/>
    <w:rsid w:val="004D1D13"/>
    <w:rsid w:val="0054692D"/>
    <w:rsid w:val="00565AEB"/>
    <w:rsid w:val="006570EA"/>
    <w:rsid w:val="007001A3"/>
    <w:rsid w:val="00776F30"/>
    <w:rsid w:val="007854ED"/>
    <w:rsid w:val="007C46C9"/>
    <w:rsid w:val="007C6B99"/>
    <w:rsid w:val="007D30DF"/>
    <w:rsid w:val="007E37F8"/>
    <w:rsid w:val="00832EDC"/>
    <w:rsid w:val="00913848"/>
    <w:rsid w:val="0092472E"/>
    <w:rsid w:val="00976F82"/>
    <w:rsid w:val="009A1DD9"/>
    <w:rsid w:val="00A02C26"/>
    <w:rsid w:val="00A917F0"/>
    <w:rsid w:val="00AC1C3D"/>
    <w:rsid w:val="00B74CC7"/>
    <w:rsid w:val="00BA3333"/>
    <w:rsid w:val="00BA5CB4"/>
    <w:rsid w:val="00C35B1A"/>
    <w:rsid w:val="00C526E7"/>
    <w:rsid w:val="00C8530D"/>
    <w:rsid w:val="00CC5CCB"/>
    <w:rsid w:val="00CC5E2E"/>
    <w:rsid w:val="00CF0A57"/>
    <w:rsid w:val="00CF645A"/>
    <w:rsid w:val="00D20FB5"/>
    <w:rsid w:val="00D65CA2"/>
    <w:rsid w:val="00E1411D"/>
    <w:rsid w:val="00E2299F"/>
    <w:rsid w:val="00E30597"/>
    <w:rsid w:val="00E30F4C"/>
    <w:rsid w:val="00E40A11"/>
    <w:rsid w:val="00EC09A5"/>
    <w:rsid w:val="00ED146B"/>
    <w:rsid w:val="00ED55ED"/>
    <w:rsid w:val="00EE3B1D"/>
    <w:rsid w:val="00F14B3C"/>
    <w:rsid w:val="00F16EE9"/>
    <w:rsid w:val="00F361BA"/>
    <w:rsid w:val="00F3790F"/>
    <w:rsid w:val="00F46DB5"/>
    <w:rsid w:val="00F64FE6"/>
    <w:rsid w:val="00FB7F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1BA"/>
    <w:pPr>
      <w:spacing w:after="0" w:line="240" w:lineRule="auto"/>
    </w:pPr>
    <w:rPr>
      <w:rFonts w:ascii="Arial" w:eastAsia="Times New Roman" w:hAnsi="Arial" w:cs="Times New Roman"/>
      <w:szCs w:val="20"/>
      <w:lang w:eastAsia="en-GB"/>
    </w:rPr>
  </w:style>
  <w:style w:type="paragraph" w:styleId="Heading1">
    <w:name w:val="heading 1"/>
    <w:basedOn w:val="Normal"/>
    <w:next w:val="Normal"/>
    <w:link w:val="Heading1Char"/>
    <w:qFormat/>
    <w:rsid w:val="00F361BA"/>
    <w:pPr>
      <w:keepNext/>
      <w:jc w:val="center"/>
      <w:outlineLvl w:val="0"/>
    </w:pPr>
    <w:rPr>
      <w:b/>
    </w:rPr>
  </w:style>
  <w:style w:type="paragraph" w:styleId="Heading3">
    <w:name w:val="heading 3"/>
    <w:basedOn w:val="Normal"/>
    <w:next w:val="Normal"/>
    <w:link w:val="Heading3Char"/>
    <w:qFormat/>
    <w:rsid w:val="00F361BA"/>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61BA"/>
    <w:rPr>
      <w:rFonts w:ascii="Arial" w:eastAsia="Times New Roman" w:hAnsi="Arial" w:cs="Times New Roman"/>
      <w:b/>
      <w:szCs w:val="20"/>
      <w:lang w:eastAsia="en-GB"/>
    </w:rPr>
  </w:style>
  <w:style w:type="character" w:customStyle="1" w:styleId="Heading3Char">
    <w:name w:val="Heading 3 Char"/>
    <w:basedOn w:val="DefaultParagraphFont"/>
    <w:link w:val="Heading3"/>
    <w:rsid w:val="00F361BA"/>
    <w:rPr>
      <w:rFonts w:ascii="Arial" w:eastAsia="Times New Roman" w:hAnsi="Arial" w:cs="Times New Roman"/>
      <w:b/>
      <w:sz w:val="24"/>
      <w:szCs w:val="20"/>
      <w:lang w:eastAsia="en-GB"/>
    </w:rPr>
  </w:style>
  <w:style w:type="paragraph" w:styleId="Header">
    <w:name w:val="header"/>
    <w:basedOn w:val="Normal"/>
    <w:link w:val="HeaderChar"/>
    <w:rsid w:val="00F361BA"/>
    <w:pPr>
      <w:tabs>
        <w:tab w:val="center" w:pos="4153"/>
        <w:tab w:val="right" w:pos="8306"/>
      </w:tabs>
    </w:pPr>
  </w:style>
  <w:style w:type="character" w:customStyle="1" w:styleId="HeaderChar">
    <w:name w:val="Header Char"/>
    <w:basedOn w:val="DefaultParagraphFont"/>
    <w:link w:val="Header"/>
    <w:rsid w:val="00F361BA"/>
    <w:rPr>
      <w:rFonts w:ascii="Arial" w:eastAsia="Times New Roman" w:hAnsi="Arial" w:cs="Times New Roman"/>
      <w:szCs w:val="20"/>
      <w:lang w:eastAsia="en-GB"/>
    </w:rPr>
  </w:style>
  <w:style w:type="paragraph" w:styleId="Footer">
    <w:name w:val="footer"/>
    <w:basedOn w:val="Normal"/>
    <w:link w:val="FooterChar"/>
    <w:unhideWhenUsed/>
    <w:rsid w:val="00F361BA"/>
    <w:pPr>
      <w:tabs>
        <w:tab w:val="center" w:pos="4513"/>
        <w:tab w:val="right" w:pos="9026"/>
      </w:tabs>
    </w:pPr>
  </w:style>
  <w:style w:type="character" w:customStyle="1" w:styleId="FooterChar">
    <w:name w:val="Footer Char"/>
    <w:basedOn w:val="DefaultParagraphFont"/>
    <w:link w:val="Footer"/>
    <w:rsid w:val="00F361BA"/>
    <w:rPr>
      <w:rFonts w:ascii="Arial" w:eastAsia="Times New Roman" w:hAnsi="Arial" w:cs="Times New Roman"/>
      <w:szCs w:val="2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334</Words>
  <Characters>1906</Characters>
  <Application>Microsoft Office Word</Application>
  <DocSecurity>0</DocSecurity>
  <Lines>15</Lines>
  <Paragraphs>4</Paragraphs>
  <ScaleCrop>false</ScaleCrop>
  <Company>Lochranza Centre CIC</Company>
  <LinksUpToDate>false</LinksUpToDate>
  <CharactersWithSpaces>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johnki</dc:creator>
  <cp:lastModifiedBy>Chris</cp:lastModifiedBy>
  <cp:revision>6</cp:revision>
  <dcterms:created xsi:type="dcterms:W3CDTF">2015-09-10T08:43:00Z</dcterms:created>
  <dcterms:modified xsi:type="dcterms:W3CDTF">2019-01-22T10:47:00Z</dcterms:modified>
</cp:coreProperties>
</file>