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D" w:rsidRDefault="00EE23ED" w:rsidP="00EE23ED"/>
    <w:p w:rsidR="00EE23ED" w:rsidRDefault="00EE23ED" w:rsidP="00EE23ED"/>
    <w:p w:rsidR="00EE23ED" w:rsidRDefault="00EE23ED" w:rsidP="00EE23ED">
      <w:pPr>
        <w:jc w:val="center"/>
        <w:rPr>
          <w:b/>
          <w:color w:val="FF0000"/>
          <w:sz w:val="28"/>
          <w:szCs w:val="28"/>
        </w:rPr>
      </w:pPr>
      <w:r>
        <w:t xml:space="preserve">Lochranza Field </w:t>
      </w:r>
      <w:proofErr w:type="gramStart"/>
      <w:r>
        <w:t xml:space="preserve">Centre </w:t>
      </w:r>
      <w:r>
        <w:rPr>
          <w:sz w:val="21"/>
        </w:rPr>
        <w:t xml:space="preserve"> </w:t>
      </w:r>
      <w:r>
        <w:rPr>
          <w:b/>
          <w:sz w:val="28"/>
          <w:szCs w:val="28"/>
        </w:rPr>
        <w:t>Site</w:t>
      </w:r>
      <w:proofErr w:type="gramEnd"/>
      <w:r>
        <w:rPr>
          <w:b/>
          <w:sz w:val="28"/>
          <w:szCs w:val="28"/>
        </w:rPr>
        <w:t xml:space="preserve"> Specific Risk Assessment: </w:t>
      </w:r>
      <w:r>
        <w:t xml:space="preserve">Environmental Change in Quaternary: Glen </w:t>
      </w:r>
      <w:proofErr w:type="spellStart"/>
      <w:r>
        <w:t>Iorsa</w:t>
      </w:r>
      <w:proofErr w:type="spellEnd"/>
    </w:p>
    <w:p w:rsidR="00EE23ED" w:rsidRPr="0043579B" w:rsidRDefault="00EE23ED" w:rsidP="00EE23ED">
      <w:pPr>
        <w:rPr>
          <w:b/>
          <w:color w:val="FF0000"/>
          <w:sz w:val="28"/>
          <w:szCs w:val="28"/>
        </w:rPr>
      </w:pPr>
      <w:r w:rsidRPr="00EE23ED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-781050</wp:posOffset>
            </wp:positionV>
            <wp:extent cx="1000125" cy="676275"/>
            <wp:effectExtent l="19050" t="0" r="0" b="0"/>
            <wp:wrapTight wrapText="bothSides">
              <wp:wrapPolygon edited="0">
                <wp:start x="-412" y="0"/>
                <wp:lineTo x="-412" y="20805"/>
                <wp:lineTo x="21421" y="20805"/>
                <wp:lineTo x="21421" y="0"/>
                <wp:lineTo x="-412" y="0"/>
              </wp:wrapPolygon>
            </wp:wrapTight>
            <wp:docPr id="15" name="Picture 0" descr="LOGO 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3ED" w:rsidRDefault="00EE23ED" w:rsidP="00EE23ED">
      <w:pPr>
        <w:rPr>
          <w:b/>
          <w:szCs w:val="22"/>
        </w:rPr>
      </w:pPr>
      <w:r>
        <w:rPr>
          <w:b/>
          <w:szCs w:val="22"/>
        </w:rPr>
        <w:t xml:space="preserve">Date: </w:t>
      </w:r>
      <w:r w:rsidR="00CA2F73">
        <w:rPr>
          <w:b/>
          <w:szCs w:val="22"/>
        </w:rPr>
        <w:t>22/01/2019</w:t>
      </w:r>
    </w:p>
    <w:p w:rsidR="00EE23ED" w:rsidRDefault="00EE23ED" w:rsidP="00EE23ED">
      <w:pPr>
        <w:rPr>
          <w:b/>
          <w:szCs w:val="22"/>
        </w:rPr>
      </w:pPr>
    </w:p>
    <w:p w:rsidR="00EE23ED" w:rsidRPr="00CD0826" w:rsidRDefault="00EE23ED" w:rsidP="00EE23ED">
      <w:pPr>
        <w:rPr>
          <w:b/>
          <w:szCs w:val="22"/>
        </w:rPr>
      </w:pPr>
      <w:r>
        <w:rPr>
          <w:b/>
          <w:szCs w:val="22"/>
        </w:rPr>
        <w:t xml:space="preserve">Completed By: </w:t>
      </w:r>
      <w:r w:rsidR="007D04D9">
        <w:rPr>
          <w:b/>
          <w:szCs w:val="22"/>
        </w:rPr>
        <w:t>Stuart Blake</w:t>
      </w:r>
    </w:p>
    <w:p w:rsidR="00EE23ED" w:rsidRDefault="00EE23ED" w:rsidP="00EE23ED">
      <w:pPr>
        <w:rPr>
          <w:rFonts w:cs="Arial"/>
          <w:sz w:val="20"/>
        </w:rPr>
      </w:pPr>
      <w:r>
        <w:rPr>
          <w:rFonts w:cs="Arial"/>
          <w:sz w:val="20"/>
        </w:rPr>
        <w:t>Where Hazards have been identified as Generic to all activities the controls are specified within the Generic Instructing Standards</w:t>
      </w:r>
    </w:p>
    <w:p w:rsidR="00EE23ED" w:rsidRPr="00FA2B37" w:rsidRDefault="00EE23ED" w:rsidP="00EE23ED">
      <w:pPr>
        <w:rPr>
          <w:rFonts w:cs="Arial"/>
          <w:sz w:val="20"/>
        </w:rPr>
      </w:pPr>
      <w:r w:rsidRPr="00FA2B37">
        <w:rPr>
          <w:rFonts w:cs="Arial"/>
          <w:sz w:val="20"/>
        </w:rPr>
        <w:t xml:space="preserve">Where Hazards have been identified as Generic to all </w:t>
      </w:r>
      <w:r w:rsidRPr="00FA2B37">
        <w:rPr>
          <w:sz w:val="20"/>
        </w:rPr>
        <w:t>Lochranza Field Studies</w:t>
      </w:r>
      <w:r w:rsidRPr="00FA2B37">
        <w:rPr>
          <w:rFonts w:cs="Arial"/>
          <w:sz w:val="20"/>
        </w:rPr>
        <w:t xml:space="preserve"> activities the controls are specified within the Generic Off </w:t>
      </w:r>
      <w:r w:rsidRPr="00FA2B37">
        <w:rPr>
          <w:sz w:val="20"/>
        </w:rPr>
        <w:t>Lochranza Local Operating Area Risk Assessment</w:t>
      </w:r>
    </w:p>
    <w:p w:rsidR="00EE23ED" w:rsidRPr="007E3E3B" w:rsidRDefault="00EE23ED" w:rsidP="00EE23ED">
      <w:pPr>
        <w:rPr>
          <w:rFonts w:cs="Arial"/>
          <w:sz w:val="20"/>
        </w:rPr>
      </w:pPr>
      <w:r w:rsidRPr="00FA2B37">
        <w:rPr>
          <w:rFonts w:cs="Arial"/>
          <w:sz w:val="20"/>
        </w:rPr>
        <w:t xml:space="preserve">Where </w:t>
      </w:r>
      <w:r w:rsidRPr="007E3E3B">
        <w:rPr>
          <w:rFonts w:cs="Arial"/>
          <w:sz w:val="20"/>
        </w:rPr>
        <w:t>Hazards have been identified as Generic to all</w:t>
      </w:r>
      <w:r w:rsidRPr="007E3E3B">
        <w:rPr>
          <w:sz w:val="20"/>
        </w:rPr>
        <w:t xml:space="preserve"> open moorland Field Studies</w:t>
      </w:r>
      <w:r w:rsidRPr="007E3E3B">
        <w:rPr>
          <w:rFonts w:cs="Arial"/>
          <w:sz w:val="20"/>
        </w:rPr>
        <w:t xml:space="preserve"> the controls are specified within the Generic Risk Assessment: </w:t>
      </w:r>
      <w:r w:rsidRPr="007E3E3B">
        <w:rPr>
          <w:sz w:val="20"/>
        </w:rPr>
        <w:t>Study - Open Moorland.</w:t>
      </w:r>
    </w:p>
    <w:p w:rsidR="00EE23ED" w:rsidRPr="00670C9D" w:rsidRDefault="00EE23ED" w:rsidP="00EE23ED">
      <w:pPr>
        <w:tabs>
          <w:tab w:val="center" w:pos="6979"/>
        </w:tabs>
        <w:rPr>
          <w:color w:val="FF0000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8788"/>
        <w:gridCol w:w="992"/>
        <w:gridCol w:w="993"/>
        <w:gridCol w:w="850"/>
      </w:tblGrid>
      <w:tr w:rsidR="00EE23ED" w:rsidRPr="00670C9D" w:rsidTr="00061DE5">
        <w:tc>
          <w:tcPr>
            <w:tcW w:w="2802" w:type="dxa"/>
            <w:tcBorders>
              <w:bottom w:val="single" w:sz="4" w:space="0" w:color="auto"/>
            </w:tcBorders>
          </w:tcPr>
          <w:p w:rsidR="00EE23ED" w:rsidRPr="00670C9D" w:rsidRDefault="00EE23ED" w:rsidP="00061DE5">
            <w:pPr>
              <w:pStyle w:val="Heading1"/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>Hazards</w:t>
            </w:r>
          </w:p>
          <w:p w:rsidR="00EE23ED" w:rsidRPr="00670C9D" w:rsidRDefault="00EE23ED" w:rsidP="00061DE5">
            <w:pPr>
              <w:rPr>
                <w:color w:val="FF0000"/>
                <w:szCs w:val="22"/>
              </w:rPr>
            </w:pPr>
            <w:r w:rsidRPr="00670C9D">
              <w:rPr>
                <w:color w:val="FF0000"/>
                <w:szCs w:val="22"/>
              </w:rPr>
              <w:t xml:space="preserve">      (please specify)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E23ED" w:rsidRPr="00670C9D" w:rsidRDefault="00EE23ED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Existing Control Measures</w:t>
            </w:r>
          </w:p>
          <w:p w:rsidR="00EE23ED" w:rsidRPr="00670C9D" w:rsidRDefault="00EE23ED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(please specify if present)</w:t>
            </w:r>
          </w:p>
        </w:tc>
        <w:tc>
          <w:tcPr>
            <w:tcW w:w="2835" w:type="dxa"/>
            <w:gridSpan w:val="3"/>
          </w:tcPr>
          <w:p w:rsidR="00EE23ED" w:rsidRPr="00670C9D" w:rsidRDefault="00EE23ED" w:rsidP="00061DE5">
            <w:pPr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Residual Risk Level</w:t>
            </w:r>
          </w:p>
          <w:p w:rsidR="00EE23ED" w:rsidRPr="00670C9D" w:rsidRDefault="00EE23ED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(Insert values and multiple</w:t>
            </w:r>
          </w:p>
          <w:p w:rsidR="00EE23ED" w:rsidRPr="00670C9D" w:rsidRDefault="00EE23ED" w:rsidP="00061DE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</w:rPr>
            </w:pPr>
            <w:r w:rsidRPr="00670C9D">
              <w:rPr>
                <w:color w:val="FF0000"/>
              </w:rPr>
              <w:t>score : see key )</w:t>
            </w:r>
          </w:p>
        </w:tc>
      </w:tr>
      <w:tr w:rsidR="00EE23ED" w:rsidRPr="00670C9D" w:rsidTr="00061DE5">
        <w:trPr>
          <w:cantSplit/>
        </w:trPr>
        <w:tc>
          <w:tcPr>
            <w:tcW w:w="2802" w:type="dxa"/>
            <w:shd w:val="pct25" w:color="auto" w:fill="C0C0C0"/>
          </w:tcPr>
          <w:p w:rsidR="00EE23ED" w:rsidRPr="00670C9D" w:rsidRDefault="00EE23ED" w:rsidP="00061DE5">
            <w:pPr>
              <w:rPr>
                <w:color w:val="FF0000"/>
                <w:szCs w:val="22"/>
              </w:rPr>
            </w:pPr>
          </w:p>
        </w:tc>
        <w:tc>
          <w:tcPr>
            <w:tcW w:w="8788" w:type="dxa"/>
            <w:shd w:val="pct25" w:color="auto" w:fill="C0C0C0"/>
          </w:tcPr>
          <w:p w:rsidR="00EE23ED" w:rsidRPr="00670C9D" w:rsidRDefault="00EE23ED" w:rsidP="00061DE5">
            <w:pPr>
              <w:rPr>
                <w:color w:val="FF0000"/>
                <w:szCs w:val="22"/>
              </w:rPr>
            </w:pPr>
          </w:p>
        </w:tc>
        <w:tc>
          <w:tcPr>
            <w:tcW w:w="992" w:type="dxa"/>
          </w:tcPr>
          <w:p w:rsidR="00EE23ED" w:rsidRPr="00670C9D" w:rsidRDefault="00EE23ED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Low</w:t>
            </w:r>
          </w:p>
        </w:tc>
        <w:tc>
          <w:tcPr>
            <w:tcW w:w="993" w:type="dxa"/>
          </w:tcPr>
          <w:p w:rsidR="00EE23ED" w:rsidRPr="00670C9D" w:rsidRDefault="00EE23ED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Med</w:t>
            </w:r>
          </w:p>
        </w:tc>
        <w:tc>
          <w:tcPr>
            <w:tcW w:w="850" w:type="dxa"/>
          </w:tcPr>
          <w:p w:rsidR="00EE23ED" w:rsidRPr="00670C9D" w:rsidRDefault="00EE23ED" w:rsidP="00061DE5">
            <w:pPr>
              <w:jc w:val="center"/>
              <w:rPr>
                <w:b/>
                <w:color w:val="FF0000"/>
                <w:szCs w:val="22"/>
              </w:rPr>
            </w:pPr>
            <w:r w:rsidRPr="00670C9D">
              <w:rPr>
                <w:b/>
                <w:color w:val="FF0000"/>
                <w:szCs w:val="22"/>
              </w:rPr>
              <w:t>High</w:t>
            </w:r>
          </w:p>
        </w:tc>
      </w:tr>
      <w:tr w:rsidR="00EE23ED" w:rsidRPr="00670C9D" w:rsidTr="00061DE5">
        <w:trPr>
          <w:cantSplit/>
        </w:trPr>
        <w:tc>
          <w:tcPr>
            <w:tcW w:w="2802" w:type="dxa"/>
          </w:tcPr>
          <w:p w:rsidR="00EE23ED" w:rsidRPr="0035749B" w:rsidRDefault="00EE23ED" w:rsidP="00061DE5">
            <w:r>
              <w:t xml:space="preserve">Drowning: </w:t>
            </w:r>
            <w:r w:rsidRPr="00EC5A6A">
              <w:t xml:space="preserve">Injury or illness caused by submersion or ingestion of </w:t>
            </w:r>
            <w:r>
              <w:t>river or sea</w:t>
            </w:r>
            <w:r w:rsidRPr="009147D5">
              <w:t xml:space="preserve"> water</w:t>
            </w:r>
            <w:r>
              <w:t>.</w:t>
            </w:r>
          </w:p>
        </w:tc>
        <w:tc>
          <w:tcPr>
            <w:tcW w:w="8788" w:type="dxa"/>
          </w:tcPr>
          <w:p w:rsidR="00EE23ED" w:rsidRPr="0035749B" w:rsidRDefault="00EE23ED" w:rsidP="00061DE5">
            <w:r>
              <w:t xml:space="preserve">Avoid hazard where possible. Tutor to brief group prior to approaching hazard. Tutor carries a throw line and is </w:t>
            </w:r>
            <w:r w:rsidRPr="009147D5">
              <w:t>positioned between the group and the hazard</w:t>
            </w:r>
            <w:r>
              <w:t xml:space="preserve">. Wave and tide conditions to be monitored by tutor during the session and group proximity to the sea to be appropriate to sea state. </w:t>
            </w:r>
            <w:r w:rsidRPr="009147D5">
              <w:t>Guests are briefed not to drink water from the river.</w:t>
            </w:r>
          </w:p>
        </w:tc>
        <w:tc>
          <w:tcPr>
            <w:tcW w:w="992" w:type="dxa"/>
          </w:tcPr>
          <w:p w:rsidR="00EE23ED" w:rsidRDefault="00EE23ED" w:rsidP="00061DE5"/>
          <w:p w:rsidR="00EE23ED" w:rsidRPr="0035749B" w:rsidRDefault="00EE23ED" w:rsidP="00061DE5">
            <w:pPr>
              <w:rPr>
                <w:sz w:val="21"/>
              </w:rPr>
            </w:pPr>
            <w:r>
              <w:t>3x2 = 6</w:t>
            </w:r>
          </w:p>
        </w:tc>
        <w:tc>
          <w:tcPr>
            <w:tcW w:w="993" w:type="dxa"/>
          </w:tcPr>
          <w:p w:rsidR="00EE23ED" w:rsidRPr="002D336D" w:rsidRDefault="00EE23ED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EE23ED" w:rsidRPr="00670C9D" w:rsidRDefault="00EE23ED" w:rsidP="00061DE5">
            <w:pPr>
              <w:rPr>
                <w:color w:val="FF0000"/>
                <w:sz w:val="21"/>
              </w:rPr>
            </w:pPr>
          </w:p>
        </w:tc>
      </w:tr>
      <w:tr w:rsidR="00EE23ED" w:rsidRPr="00670C9D" w:rsidTr="00061DE5">
        <w:trPr>
          <w:cantSplit/>
        </w:trPr>
        <w:tc>
          <w:tcPr>
            <w:tcW w:w="2802" w:type="dxa"/>
          </w:tcPr>
          <w:p w:rsidR="00EE23ED" w:rsidRPr="0035749B" w:rsidRDefault="00EE23ED" w:rsidP="00061DE5">
            <w:r>
              <w:t>Hypothermia caused by sustained exposure to wet or windy conditions due to lack of shelter in the field.</w:t>
            </w:r>
          </w:p>
        </w:tc>
        <w:tc>
          <w:tcPr>
            <w:tcW w:w="8788" w:type="dxa"/>
          </w:tcPr>
          <w:p w:rsidR="00EE23ED" w:rsidRPr="0035749B" w:rsidRDefault="00EE23ED" w:rsidP="00061DE5">
            <w:r>
              <w:t>Group to</w:t>
            </w:r>
            <w:r w:rsidRPr="009147D5">
              <w:t xml:space="preserve"> carry an emergency shelter and sleeping bag in accordance with the SSOP.</w:t>
            </w:r>
            <w:r>
              <w:t xml:space="preserve"> T</w:t>
            </w:r>
            <w:r w:rsidRPr="009147D5">
              <w:t>utor carries a flask with hot drink and monitors the condition of the group members.</w:t>
            </w:r>
            <w:r w:rsidR="00CA2F73">
              <w:t xml:space="preserve">  Tutor carries casualty blizzard blanket.</w:t>
            </w:r>
          </w:p>
        </w:tc>
        <w:tc>
          <w:tcPr>
            <w:tcW w:w="992" w:type="dxa"/>
          </w:tcPr>
          <w:p w:rsidR="00EE23ED" w:rsidRDefault="00EE23ED" w:rsidP="00061DE5"/>
          <w:p w:rsidR="00EE23ED" w:rsidRPr="0035749B" w:rsidRDefault="00EE23ED" w:rsidP="00061DE5">
            <w:pPr>
              <w:rPr>
                <w:sz w:val="21"/>
              </w:rPr>
            </w:pPr>
            <w:r>
              <w:t>3x2 = 6</w:t>
            </w:r>
          </w:p>
        </w:tc>
        <w:tc>
          <w:tcPr>
            <w:tcW w:w="993" w:type="dxa"/>
          </w:tcPr>
          <w:p w:rsidR="00EE23ED" w:rsidRPr="002D336D" w:rsidRDefault="00EE23ED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EE23ED" w:rsidRPr="00670C9D" w:rsidRDefault="00EE23ED" w:rsidP="00061DE5">
            <w:pPr>
              <w:rPr>
                <w:color w:val="FF0000"/>
                <w:sz w:val="21"/>
              </w:rPr>
            </w:pPr>
          </w:p>
        </w:tc>
      </w:tr>
      <w:tr w:rsidR="00EE23ED" w:rsidRPr="00670C9D" w:rsidTr="00061DE5">
        <w:trPr>
          <w:cantSplit/>
        </w:trPr>
        <w:tc>
          <w:tcPr>
            <w:tcW w:w="2802" w:type="dxa"/>
          </w:tcPr>
          <w:p w:rsidR="00EE23ED" w:rsidRPr="0035749B" w:rsidRDefault="00EE23ED" w:rsidP="00061DE5">
            <w:r>
              <w:t>Injury caused by collapse of sections in sediment.</w:t>
            </w:r>
          </w:p>
        </w:tc>
        <w:tc>
          <w:tcPr>
            <w:tcW w:w="8788" w:type="dxa"/>
          </w:tcPr>
          <w:p w:rsidR="00EE23ED" w:rsidRPr="0035749B" w:rsidRDefault="00EE23ED" w:rsidP="00061DE5">
            <w:r>
              <w:t>Group are briefed on potential hazards of working below faces in unconsolidated sediment and are directed to avoid particularly unstable areas. Hard hats to be worn.</w:t>
            </w:r>
          </w:p>
        </w:tc>
        <w:tc>
          <w:tcPr>
            <w:tcW w:w="992" w:type="dxa"/>
          </w:tcPr>
          <w:p w:rsidR="00EE23ED" w:rsidRPr="0035749B" w:rsidRDefault="00EE23ED" w:rsidP="00061DE5">
            <w:pPr>
              <w:rPr>
                <w:sz w:val="21"/>
              </w:rPr>
            </w:pPr>
          </w:p>
        </w:tc>
        <w:tc>
          <w:tcPr>
            <w:tcW w:w="993" w:type="dxa"/>
          </w:tcPr>
          <w:p w:rsidR="00EE23ED" w:rsidRPr="006645C7" w:rsidRDefault="00EE23ED" w:rsidP="00061DE5">
            <w:pPr>
              <w:rPr>
                <w:sz w:val="21"/>
              </w:rPr>
            </w:pPr>
            <w:r w:rsidRPr="006645C7">
              <w:t>4x2 = 8</w:t>
            </w:r>
          </w:p>
        </w:tc>
        <w:tc>
          <w:tcPr>
            <w:tcW w:w="850" w:type="dxa"/>
          </w:tcPr>
          <w:p w:rsidR="00EE23ED" w:rsidRPr="00670C9D" w:rsidRDefault="00EE23ED" w:rsidP="00061DE5">
            <w:pPr>
              <w:rPr>
                <w:color w:val="FF0000"/>
                <w:sz w:val="21"/>
              </w:rPr>
            </w:pPr>
          </w:p>
        </w:tc>
      </w:tr>
      <w:tr w:rsidR="00EE23ED" w:rsidRPr="00670C9D" w:rsidTr="00061DE5">
        <w:trPr>
          <w:cantSplit/>
        </w:trPr>
        <w:tc>
          <w:tcPr>
            <w:tcW w:w="2802" w:type="dxa"/>
          </w:tcPr>
          <w:p w:rsidR="00EE23ED" w:rsidRPr="0035749B" w:rsidRDefault="00EE23ED" w:rsidP="00061DE5">
            <w:r>
              <w:t>Injury caused by coming into contact with dumped munitions.</w:t>
            </w:r>
          </w:p>
        </w:tc>
        <w:tc>
          <w:tcPr>
            <w:tcW w:w="8788" w:type="dxa"/>
          </w:tcPr>
          <w:p w:rsidR="00EE23ED" w:rsidRPr="0035749B" w:rsidRDefault="00EE23ED" w:rsidP="00061DE5">
            <w:r>
              <w:t>Group to be briefed if MOD ordnance warnings are issued. Tutors to brief the group on hazards and keep them away from debris where possible</w:t>
            </w:r>
            <w:r w:rsidRPr="009147D5">
              <w:t xml:space="preserve"> (</w:t>
            </w:r>
            <w:proofErr w:type="spellStart"/>
            <w:r w:rsidRPr="009147D5">
              <w:t>eg</w:t>
            </w:r>
            <w:proofErr w:type="spellEnd"/>
            <w:r w:rsidRPr="009147D5">
              <w:t xml:space="preserve"> phosphorous flares).</w:t>
            </w:r>
          </w:p>
        </w:tc>
        <w:tc>
          <w:tcPr>
            <w:tcW w:w="992" w:type="dxa"/>
          </w:tcPr>
          <w:p w:rsidR="00EE23ED" w:rsidRDefault="00EE23ED" w:rsidP="00061DE5"/>
          <w:p w:rsidR="00EE23ED" w:rsidRPr="0035749B" w:rsidRDefault="00EE23ED" w:rsidP="00061DE5">
            <w:pPr>
              <w:rPr>
                <w:sz w:val="21"/>
              </w:rPr>
            </w:pPr>
            <w:r>
              <w:t>4x1 = 4</w:t>
            </w:r>
          </w:p>
        </w:tc>
        <w:tc>
          <w:tcPr>
            <w:tcW w:w="993" w:type="dxa"/>
          </w:tcPr>
          <w:p w:rsidR="00EE23ED" w:rsidRPr="00670C9D" w:rsidRDefault="00EE23ED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EE23ED" w:rsidRPr="00670C9D" w:rsidRDefault="00EE23ED" w:rsidP="00061DE5">
            <w:pPr>
              <w:rPr>
                <w:color w:val="FF0000"/>
                <w:sz w:val="21"/>
              </w:rPr>
            </w:pPr>
          </w:p>
        </w:tc>
      </w:tr>
      <w:tr w:rsidR="00EE23ED" w:rsidRPr="00670C9D" w:rsidTr="00061DE5">
        <w:trPr>
          <w:cantSplit/>
        </w:trPr>
        <w:tc>
          <w:tcPr>
            <w:tcW w:w="2802" w:type="dxa"/>
          </w:tcPr>
          <w:p w:rsidR="00EE23ED" w:rsidRPr="0035749B" w:rsidRDefault="00EE23ED" w:rsidP="00061DE5">
            <w:r>
              <w:t>Windblown material: injury caused by dust in eyes.</w:t>
            </w:r>
          </w:p>
        </w:tc>
        <w:tc>
          <w:tcPr>
            <w:tcW w:w="8788" w:type="dxa"/>
          </w:tcPr>
          <w:p w:rsidR="00EE23ED" w:rsidRPr="0035749B" w:rsidRDefault="00EE23ED" w:rsidP="00061DE5">
            <w:r>
              <w:t>Group to be briefed on potential hazard. Correct procedure demonstrated by tutor for sampling and cleaning faces in unconsolidated sediments.</w:t>
            </w:r>
          </w:p>
        </w:tc>
        <w:tc>
          <w:tcPr>
            <w:tcW w:w="992" w:type="dxa"/>
          </w:tcPr>
          <w:p w:rsidR="00EE23ED" w:rsidRPr="0035749B" w:rsidRDefault="00EE23ED" w:rsidP="00061DE5">
            <w:pPr>
              <w:rPr>
                <w:sz w:val="21"/>
              </w:rPr>
            </w:pPr>
            <w:r>
              <w:t>2x2 = 4</w:t>
            </w:r>
          </w:p>
        </w:tc>
        <w:tc>
          <w:tcPr>
            <w:tcW w:w="993" w:type="dxa"/>
          </w:tcPr>
          <w:p w:rsidR="00EE23ED" w:rsidRPr="00670C9D" w:rsidRDefault="00EE23ED" w:rsidP="00061DE5">
            <w:pPr>
              <w:rPr>
                <w:color w:val="FF0000"/>
                <w:sz w:val="21"/>
              </w:rPr>
            </w:pPr>
          </w:p>
        </w:tc>
        <w:tc>
          <w:tcPr>
            <w:tcW w:w="850" w:type="dxa"/>
          </w:tcPr>
          <w:p w:rsidR="00EE23ED" w:rsidRPr="00670C9D" w:rsidRDefault="00EE23ED" w:rsidP="00061DE5">
            <w:pPr>
              <w:rPr>
                <w:color w:val="FF0000"/>
                <w:sz w:val="21"/>
              </w:rPr>
            </w:pPr>
          </w:p>
        </w:tc>
      </w:tr>
    </w:tbl>
    <w:p w:rsidR="00EE23ED" w:rsidRDefault="00EE23ED" w:rsidP="00EE23ED">
      <w:pPr>
        <w:pStyle w:val="Heading3"/>
        <w:jc w:val="center"/>
        <w:rPr>
          <w:b w:val="0"/>
          <w:sz w:val="23"/>
        </w:rPr>
      </w:pPr>
      <w:r>
        <w:rPr>
          <w:b w:val="0"/>
          <w:sz w:val="23"/>
        </w:rPr>
        <w:t>(Key:  1-7 = Low Risk; 8-15 = Medium Risk; 16-25 = High Risk)</w:t>
      </w:r>
    </w:p>
    <w:p w:rsidR="00EE23ED" w:rsidRDefault="00EE23ED" w:rsidP="00EE23ED">
      <w:pPr>
        <w:rPr>
          <w:szCs w:val="22"/>
        </w:rPr>
      </w:pPr>
    </w:p>
    <w:p w:rsidR="00EE23ED" w:rsidRDefault="00EE23ED" w:rsidP="00CE2459">
      <w:pPr>
        <w:rPr>
          <w:szCs w:val="22"/>
        </w:rPr>
      </w:pPr>
      <w:r>
        <w:rPr>
          <w:szCs w:val="22"/>
        </w:rPr>
        <w:t>Endorsed</w:t>
      </w:r>
      <w:r w:rsidR="00CE2459">
        <w:rPr>
          <w:szCs w:val="22"/>
        </w:rPr>
        <w:t xml:space="preserve"> for Lochranza Centre CIC by</w:t>
      </w:r>
      <w:r w:rsidR="007D04D9">
        <w:rPr>
          <w:szCs w:val="22"/>
        </w:rPr>
        <w:t xml:space="preserve"> Stuart Blake</w:t>
      </w:r>
      <w:r w:rsidR="00CE2459">
        <w:rPr>
          <w:szCs w:val="22"/>
        </w:rPr>
        <w:t xml:space="preserve">, Director </w:t>
      </w:r>
    </w:p>
    <w:p w:rsidR="00EE23ED" w:rsidRDefault="00EE23ED" w:rsidP="00EE23ED">
      <w:pPr>
        <w:rPr>
          <w:szCs w:val="22"/>
        </w:rPr>
      </w:pPr>
    </w:p>
    <w:p w:rsidR="00EE23ED" w:rsidRDefault="00EE23ED" w:rsidP="00EE23ED">
      <w:pPr>
        <w:rPr>
          <w:szCs w:val="22"/>
        </w:rPr>
      </w:pPr>
    </w:p>
    <w:p w:rsidR="00EE23ED" w:rsidRPr="00325BAC" w:rsidRDefault="00920C44" w:rsidP="00EE23ED">
      <w:r>
        <w:rPr>
          <w:szCs w:val="22"/>
        </w:rPr>
        <w:t xml:space="preserve">Date: </w:t>
      </w:r>
      <w:r w:rsidR="00CA2F73">
        <w:rPr>
          <w:szCs w:val="22"/>
        </w:rPr>
        <w:t>22</w:t>
      </w:r>
      <w:r w:rsidR="007D04D9">
        <w:rPr>
          <w:szCs w:val="22"/>
        </w:rPr>
        <w:t>/01/201</w:t>
      </w:r>
      <w:bookmarkStart w:id="0" w:name="_GoBack"/>
      <w:bookmarkEnd w:id="0"/>
      <w:r w:rsidR="00CA2F73">
        <w:rPr>
          <w:szCs w:val="22"/>
        </w:rPr>
        <w:t>9</w:t>
      </w:r>
    </w:p>
    <w:p w:rsidR="00CC5CCB" w:rsidRDefault="00CC5CCB"/>
    <w:sectPr w:rsidR="00CC5CCB" w:rsidSect="001C4641">
      <w:footerReference w:type="default" r:id="rId7"/>
      <w:pgSz w:w="16838" w:h="11906" w:orient="landscape"/>
      <w:pgMar w:top="567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13" w:rsidRDefault="003B0B13" w:rsidP="00822E88">
      <w:r>
        <w:separator/>
      </w:r>
    </w:p>
  </w:endnote>
  <w:endnote w:type="continuationSeparator" w:id="0">
    <w:p w:rsidR="003B0B13" w:rsidRDefault="003B0B13" w:rsidP="0082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7C" w:rsidRDefault="00EE23ED" w:rsidP="00575C7C">
    <w:pPr>
      <w:pStyle w:val="Footer"/>
    </w:pPr>
    <w:r>
      <w:t>SITE SPECIFIC RISK ASSESSMENT</w:t>
    </w:r>
  </w:p>
  <w:p w:rsidR="00575C7C" w:rsidRDefault="00EE23ED" w:rsidP="00575C7C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13" w:rsidRDefault="003B0B13" w:rsidP="00822E88">
      <w:r>
        <w:separator/>
      </w:r>
    </w:p>
  </w:footnote>
  <w:footnote w:type="continuationSeparator" w:id="0">
    <w:p w:rsidR="003B0B13" w:rsidRDefault="003B0B13" w:rsidP="00822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ED"/>
    <w:rsid w:val="00000F00"/>
    <w:rsid w:val="00004C24"/>
    <w:rsid w:val="000507D7"/>
    <w:rsid w:val="00075467"/>
    <w:rsid w:val="000B76B4"/>
    <w:rsid w:val="000C1C06"/>
    <w:rsid w:val="000D31B8"/>
    <w:rsid w:val="000E357B"/>
    <w:rsid w:val="001213A3"/>
    <w:rsid w:val="001E728D"/>
    <w:rsid w:val="001F4E72"/>
    <w:rsid w:val="00250E28"/>
    <w:rsid w:val="00257A49"/>
    <w:rsid w:val="00277D8C"/>
    <w:rsid w:val="002834AE"/>
    <w:rsid w:val="00290920"/>
    <w:rsid w:val="002D0A61"/>
    <w:rsid w:val="003557E0"/>
    <w:rsid w:val="003B0B13"/>
    <w:rsid w:val="00474B12"/>
    <w:rsid w:val="00485D06"/>
    <w:rsid w:val="0049151B"/>
    <w:rsid w:val="004D1D13"/>
    <w:rsid w:val="00565AEB"/>
    <w:rsid w:val="005A6F1C"/>
    <w:rsid w:val="006570EA"/>
    <w:rsid w:val="0067541D"/>
    <w:rsid w:val="006B05B0"/>
    <w:rsid w:val="00763260"/>
    <w:rsid w:val="007854ED"/>
    <w:rsid w:val="007C46C9"/>
    <w:rsid w:val="007C6B99"/>
    <w:rsid w:val="007D04D9"/>
    <w:rsid w:val="007D30DF"/>
    <w:rsid w:val="007E37F8"/>
    <w:rsid w:val="00822E88"/>
    <w:rsid w:val="0084163D"/>
    <w:rsid w:val="00901705"/>
    <w:rsid w:val="00913848"/>
    <w:rsid w:val="00920C44"/>
    <w:rsid w:val="0092472E"/>
    <w:rsid w:val="00976F82"/>
    <w:rsid w:val="00A02C26"/>
    <w:rsid w:val="00A917F0"/>
    <w:rsid w:val="00AC1C3D"/>
    <w:rsid w:val="00B74CC7"/>
    <w:rsid w:val="00BA3333"/>
    <w:rsid w:val="00BA5CB4"/>
    <w:rsid w:val="00C35B1A"/>
    <w:rsid w:val="00C526E7"/>
    <w:rsid w:val="00CA2F73"/>
    <w:rsid w:val="00CC5CCB"/>
    <w:rsid w:val="00CC5E2E"/>
    <w:rsid w:val="00CE2459"/>
    <w:rsid w:val="00CF0A57"/>
    <w:rsid w:val="00CF645A"/>
    <w:rsid w:val="00D20FB5"/>
    <w:rsid w:val="00D65CA2"/>
    <w:rsid w:val="00E1411D"/>
    <w:rsid w:val="00E2299F"/>
    <w:rsid w:val="00E30597"/>
    <w:rsid w:val="00E30F4C"/>
    <w:rsid w:val="00E40A11"/>
    <w:rsid w:val="00ED55ED"/>
    <w:rsid w:val="00EE23ED"/>
    <w:rsid w:val="00EE3B1D"/>
    <w:rsid w:val="00F14B3C"/>
    <w:rsid w:val="00F16EE9"/>
    <w:rsid w:val="00FB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ED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E23ED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E23ED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3ED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E23E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EE23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3E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EE23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23ED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Lochranza Centre CIC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johnki</dc:creator>
  <cp:lastModifiedBy>Chris</cp:lastModifiedBy>
  <cp:revision>4</cp:revision>
  <cp:lastPrinted>2017-02-21T10:20:00Z</cp:lastPrinted>
  <dcterms:created xsi:type="dcterms:W3CDTF">2018-01-03T16:50:00Z</dcterms:created>
  <dcterms:modified xsi:type="dcterms:W3CDTF">2019-01-22T11:02:00Z</dcterms:modified>
</cp:coreProperties>
</file>